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2" w:rsidRPr="003C3962" w:rsidRDefault="00081481" w:rsidP="00061D4D">
      <w:pPr>
        <w:pStyle w:val="Sinespaciado"/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lang w:eastAsia="es-MX" w:bidi="he-IL"/>
        </w:rPr>
        <w:drawing>
          <wp:anchor distT="0" distB="0" distL="114300" distR="114300" simplePos="0" relativeHeight="251659264" behindDoc="1" locked="0" layoutInCell="1" allowOverlap="1" wp14:anchorId="1A181D03" wp14:editId="2A1DB377">
            <wp:simplePos x="0" y="0"/>
            <wp:positionH relativeFrom="column">
              <wp:posOffset>37811</wp:posOffset>
            </wp:positionH>
            <wp:positionV relativeFrom="paragraph">
              <wp:posOffset>44046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83">
        <w:rPr>
          <w:b/>
          <w:sz w:val="24"/>
          <w:szCs w:val="24"/>
        </w:rPr>
        <w:t>Miércoles</w:t>
      </w:r>
      <w:r>
        <w:rPr>
          <w:b/>
          <w:sz w:val="24"/>
          <w:szCs w:val="24"/>
        </w:rPr>
        <w:t xml:space="preserve"> V</w:t>
      </w:r>
      <w:r w:rsidR="00061D4D">
        <w:rPr>
          <w:b/>
          <w:sz w:val="24"/>
          <w:szCs w:val="24"/>
        </w:rPr>
        <w:t xml:space="preserve"> del TO</w:t>
      </w:r>
      <w:r w:rsidR="003373D8">
        <w:rPr>
          <w:b/>
          <w:sz w:val="24"/>
          <w:szCs w:val="24"/>
        </w:rPr>
        <w:br/>
        <w:t>Ciclo B</w:t>
      </w:r>
      <w:r w:rsidR="00061D4D">
        <w:rPr>
          <w:b/>
          <w:sz w:val="24"/>
          <w:szCs w:val="24"/>
        </w:rPr>
        <w:br/>
      </w:r>
    </w:p>
    <w:p w:rsidR="003C3962" w:rsidRPr="003C3962" w:rsidRDefault="00985083" w:rsidP="00F6457E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="003C3962" w:rsidRPr="003C3962">
        <w:rPr>
          <w:sz w:val="24"/>
          <w:szCs w:val="24"/>
        </w:rPr>
        <w:t xml:space="preserve"> de </w:t>
      </w:r>
      <w:r w:rsidR="00F6457E">
        <w:rPr>
          <w:sz w:val="24"/>
          <w:szCs w:val="24"/>
        </w:rPr>
        <w:t xml:space="preserve">febrero </w:t>
      </w:r>
      <w:r w:rsidR="003C3962" w:rsidRPr="003C3962">
        <w:rPr>
          <w:sz w:val="24"/>
          <w:szCs w:val="24"/>
        </w:rPr>
        <w:t>de 20</w:t>
      </w:r>
      <w:r w:rsidR="00F6457E">
        <w:rPr>
          <w:sz w:val="24"/>
          <w:szCs w:val="24"/>
        </w:rPr>
        <w:t>21</w:t>
      </w:r>
    </w:p>
    <w:p w:rsidR="003C3962" w:rsidRPr="003C3962" w:rsidRDefault="00927008" w:rsidP="00985083">
      <w:pPr>
        <w:pStyle w:val="Sinespaciad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Gn</w:t>
      </w:r>
      <w:proofErr w:type="spellEnd"/>
      <w:r>
        <w:rPr>
          <w:sz w:val="20"/>
          <w:szCs w:val="20"/>
        </w:rPr>
        <w:t xml:space="preserve"> </w:t>
      </w:r>
      <w:r w:rsidR="00985083">
        <w:rPr>
          <w:sz w:val="20"/>
          <w:szCs w:val="20"/>
        </w:rPr>
        <w:t>2, 4-9.15-17</w:t>
      </w:r>
    </w:p>
    <w:p w:rsidR="003C3962" w:rsidRDefault="00081481" w:rsidP="00985083">
      <w:pPr>
        <w:pStyle w:val="Sinespaciado"/>
        <w:jc w:val="right"/>
        <w:rPr>
          <w:sz w:val="20"/>
          <w:szCs w:val="20"/>
        </w:rPr>
      </w:pPr>
      <w:r>
        <w:rPr>
          <w:sz w:val="20"/>
          <w:szCs w:val="20"/>
        </w:rPr>
        <w:t>Sal</w:t>
      </w:r>
      <w:r w:rsidR="00985083">
        <w:rPr>
          <w:sz w:val="20"/>
          <w:szCs w:val="20"/>
        </w:rPr>
        <w:t xml:space="preserve"> 103</w:t>
      </w:r>
      <w:r>
        <w:rPr>
          <w:sz w:val="20"/>
          <w:szCs w:val="20"/>
        </w:rPr>
        <w:br/>
        <w:t xml:space="preserve">Mc </w:t>
      </w:r>
      <w:r w:rsidR="00927008">
        <w:rPr>
          <w:sz w:val="20"/>
          <w:szCs w:val="20"/>
        </w:rPr>
        <w:t>7</w:t>
      </w:r>
      <w:r w:rsidR="00985083">
        <w:rPr>
          <w:sz w:val="20"/>
          <w:szCs w:val="20"/>
        </w:rPr>
        <w:t>, 14-23</w:t>
      </w:r>
    </w:p>
    <w:p w:rsidR="008D4F62" w:rsidRPr="008D4F62" w:rsidRDefault="008D4F62" w:rsidP="003C3962">
      <w:pPr>
        <w:pStyle w:val="Sinespaciad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P. Eduardo Suanzes, msps</w:t>
      </w:r>
    </w:p>
    <w:p w:rsidR="00081481" w:rsidRDefault="00081481" w:rsidP="00BE183C">
      <w:pPr>
        <w:pStyle w:val="Sinespaciado"/>
        <w:ind w:left="0" w:firstLine="0"/>
        <w:rPr>
          <w:sz w:val="24"/>
          <w:szCs w:val="24"/>
        </w:rPr>
      </w:pPr>
    </w:p>
    <w:p w:rsidR="00857F83" w:rsidRDefault="00985083" w:rsidP="00656E21">
      <w:r>
        <w:t xml:space="preserve">Comenzamos ahora con el </w:t>
      </w:r>
      <w:r w:rsidRPr="00656E21">
        <w:rPr>
          <w:b/>
          <w:bCs/>
          <w:i/>
          <w:iCs/>
        </w:rPr>
        <w:t>segundo relato</w:t>
      </w:r>
      <w:r>
        <w:t xml:space="preserve"> </w:t>
      </w:r>
      <w:r w:rsidRPr="00656E21">
        <w:rPr>
          <w:b/>
          <w:bCs/>
          <w:i/>
          <w:iCs/>
        </w:rPr>
        <w:t>de la creación</w:t>
      </w:r>
      <w:r>
        <w:t>, que, como ya sabemos, se elaboró unos 400 años antes del relato primero</w:t>
      </w:r>
      <w:r w:rsidR="00927605">
        <w:rPr>
          <w:rStyle w:val="Refdenotaalpie"/>
        </w:rPr>
        <w:footnoteReference w:id="1"/>
      </w:r>
      <w:r w:rsidR="00927605">
        <w:t>.</w:t>
      </w:r>
      <w:r>
        <w:t xml:space="preserve"> El autor del mismo</w:t>
      </w:r>
      <w:r w:rsidR="00656E21">
        <w:t xml:space="preserve"> (por supuesto, desconocido)</w:t>
      </w:r>
      <w:r>
        <w:t xml:space="preserve"> es del siglo X a.C. Su contexto histórico es el </w:t>
      </w:r>
      <w:r w:rsidR="00656E21">
        <w:t xml:space="preserve">comienzo del </w:t>
      </w:r>
      <w:r>
        <w:t xml:space="preserve">Israel monárquico, </w:t>
      </w:r>
      <w:r w:rsidR="00656E21">
        <w:t xml:space="preserve">allá </w:t>
      </w:r>
      <w:r>
        <w:t xml:space="preserve">por los reinados de Saúl, David o Salomón. </w:t>
      </w:r>
      <w:r w:rsidR="00656E21">
        <w:t>El rey de turno</w:t>
      </w:r>
      <w:r>
        <w:t xml:space="preserve"> domina</w:t>
      </w:r>
      <w:r w:rsidR="00656E21">
        <w:t xml:space="preserve"> su</w:t>
      </w:r>
      <w:r>
        <w:t xml:space="preserve"> tierra </w:t>
      </w:r>
      <w:r w:rsidR="00656E21">
        <w:t xml:space="preserve">gobernando sobre un </w:t>
      </w:r>
      <w:r>
        <w:t xml:space="preserve">reino estable y asentado. Los tiempos de la esclavitud de Egipto quedaron atrás y el pueblo ha asimilado la experiencia de un Dios liberador de la </w:t>
      </w:r>
      <w:r w:rsidR="00656E21">
        <w:t xml:space="preserve">opresión egipcia y </w:t>
      </w:r>
      <w:r>
        <w:t>que ahora, por el Arca de la Alianza, habita en medio de su pueblo.</w:t>
      </w:r>
    </w:p>
    <w:p w:rsidR="00656E21" w:rsidRDefault="00656E21" w:rsidP="00077AD8">
      <w:r>
        <w:t>Este relato de la creación pa</w:t>
      </w:r>
      <w:r w:rsidR="001574FA">
        <w:t>s</w:t>
      </w:r>
      <w:r>
        <w:t xml:space="preserve">a del optimismo del principio al drama del final, </w:t>
      </w:r>
      <w:r w:rsidR="001574FA">
        <w:t xml:space="preserve">con la prueba y el pecado, </w:t>
      </w:r>
      <w:r w:rsidRPr="00656E21">
        <w:t xml:space="preserve">recurriendo </w:t>
      </w:r>
      <w:r w:rsidR="001574FA">
        <w:t xml:space="preserve">el autor, </w:t>
      </w:r>
      <w:r w:rsidRPr="00656E21">
        <w:t>sin escrúpulos</w:t>
      </w:r>
      <w:r w:rsidR="001574FA">
        <w:t>,</w:t>
      </w:r>
      <w:r w:rsidRPr="00656E21">
        <w:t xml:space="preserve"> a las imaginerías míticas más caracterizadas, pero introduciendo en la escena del mundo la más fina psicología. </w:t>
      </w:r>
      <w:r w:rsidR="001574FA" w:rsidRPr="001574FA">
        <w:t>Se supone que el lector es lo suficientemente avispado para no engañarse con las imágenes: ese Dios vivo y personal</w:t>
      </w:r>
      <w:r w:rsidR="001574FA">
        <w:t xml:space="preserve">, concreto y real (pues </w:t>
      </w:r>
      <w:r w:rsidR="00077AD8">
        <w:t xml:space="preserve">con rasgos antropomórficos </w:t>
      </w:r>
      <w:r w:rsidR="001574FA">
        <w:t>aparece</w:t>
      </w:r>
      <w:r w:rsidR="00E03AA6">
        <w:rPr>
          <w:rStyle w:val="Refdenotaalpie"/>
        </w:rPr>
        <w:footnoteReference w:id="2"/>
      </w:r>
      <w:r w:rsidR="001574FA">
        <w:t>)</w:t>
      </w:r>
      <w:r w:rsidR="001574FA" w:rsidRPr="001574FA">
        <w:t xml:space="preserve"> es el creador de quien depende el universo, la vida, el hombre y la mujer, etc. Frente a él todo el cosmos queda </w:t>
      </w:r>
      <w:r w:rsidR="001574FA">
        <w:t xml:space="preserve">sin ningún revestimiento mítico. </w:t>
      </w:r>
    </w:p>
    <w:p w:rsidR="00F13D3B" w:rsidRDefault="001574FA" w:rsidP="00F13D3B">
      <w:r w:rsidRPr="001574FA">
        <w:t xml:space="preserve">Pero ¿qué es </w:t>
      </w:r>
      <w:r>
        <w:t xml:space="preserve">el hombre delante de Dios? Por </w:t>
      </w:r>
      <w:r w:rsidRPr="001574FA">
        <w:t>su ser</w:t>
      </w:r>
      <w:r>
        <w:t>, ha salido del polvo del suelo</w:t>
      </w:r>
      <w:r w:rsidRPr="001574FA">
        <w:t>; ¿por qué extrañarse entonces de que, en el relato de la caída, se diga que tiene que volver de nuevo al polvo?</w:t>
      </w:r>
      <w:r w:rsidRPr="001574FA">
        <w:rPr>
          <w:rStyle w:val="Refdenotaalpie"/>
        </w:rPr>
        <w:t xml:space="preserve"> </w:t>
      </w:r>
      <w:r>
        <w:rPr>
          <w:rStyle w:val="Refdenotaalpie"/>
        </w:rPr>
        <w:footnoteReference w:id="3"/>
      </w:r>
      <w:r w:rsidRPr="001574FA">
        <w:t xml:space="preserve"> Lo humano</w:t>
      </w:r>
      <w:r>
        <w:t>, que en hebreo se dice «</w:t>
      </w:r>
      <w:proofErr w:type="spellStart"/>
      <w:r>
        <w:rPr>
          <w:i/>
          <w:iCs/>
        </w:rPr>
        <w:t>adam</w:t>
      </w:r>
      <w:proofErr w:type="spellEnd"/>
      <w:r>
        <w:rPr>
          <w:i/>
          <w:iCs/>
        </w:rPr>
        <w:t>»</w:t>
      </w:r>
      <w:r w:rsidR="00F13D3B">
        <w:rPr>
          <w:rStyle w:val="Refdenotaalpie"/>
          <w:i/>
          <w:iCs/>
        </w:rPr>
        <w:footnoteReference w:id="4"/>
      </w:r>
      <w:r>
        <w:rPr>
          <w:i/>
          <w:iCs/>
        </w:rPr>
        <w:t xml:space="preserve">, </w:t>
      </w:r>
      <w:r w:rsidRPr="001574FA">
        <w:t xml:space="preserve"> ha salido del polvo</w:t>
      </w:r>
      <w:r>
        <w:t>,</w:t>
      </w:r>
      <w:r w:rsidR="00F13D3B">
        <w:t xml:space="preserve"> de la tierra,</w:t>
      </w:r>
      <w:r>
        <w:t xml:space="preserve"> que en hebreo se dice «</w:t>
      </w:r>
      <w:proofErr w:type="spellStart"/>
      <w:r w:rsidRPr="001574FA">
        <w:rPr>
          <w:i/>
          <w:iCs/>
        </w:rPr>
        <w:t>adamah</w:t>
      </w:r>
      <w:proofErr w:type="spellEnd"/>
      <w:r>
        <w:rPr>
          <w:i/>
          <w:iCs/>
        </w:rPr>
        <w:t>»</w:t>
      </w:r>
      <w:r w:rsidR="00F13D3B">
        <w:t xml:space="preserve">; con </w:t>
      </w:r>
      <w:r w:rsidRPr="001574FA">
        <w:t xml:space="preserve">este juego de palabras </w:t>
      </w:r>
      <w:r w:rsidR="00F13D3B">
        <w:t xml:space="preserve">el autor nos está explicando </w:t>
      </w:r>
      <w:r w:rsidR="00F13D3B" w:rsidRPr="008714E7">
        <w:rPr>
          <w:b/>
          <w:bCs/>
          <w:i/>
          <w:iCs/>
        </w:rPr>
        <w:t xml:space="preserve">la conexión intrínseca del ser humano con el </w:t>
      </w:r>
      <w:r w:rsidRPr="008714E7">
        <w:rPr>
          <w:b/>
          <w:bCs/>
          <w:i/>
          <w:iCs/>
        </w:rPr>
        <w:t xml:space="preserve"> universo material</w:t>
      </w:r>
      <w:r w:rsidRPr="001574FA">
        <w:t xml:space="preserve">. </w:t>
      </w:r>
    </w:p>
    <w:p w:rsidR="00F13D3B" w:rsidRDefault="001574FA" w:rsidP="003B267D">
      <w:r w:rsidRPr="001574FA">
        <w:t>Pero gracias al aliento de vida que Dios le sopla es como se convierte en «</w:t>
      </w:r>
      <w:r w:rsidRPr="003B267D">
        <w:rPr>
          <w:i/>
          <w:iCs/>
        </w:rPr>
        <w:t>ser viviente</w:t>
      </w:r>
      <w:r w:rsidR="00F13D3B">
        <w:t>»</w:t>
      </w:r>
      <w:r w:rsidRPr="001574FA">
        <w:t xml:space="preserve">, es decir, en una persona viva capaz de entrar en relación con Dios. Esto mismo es lo que distingue al hombre de los animales, como </w:t>
      </w:r>
      <w:r w:rsidR="00F13D3B">
        <w:t>se dirá</w:t>
      </w:r>
      <w:r w:rsidRPr="001574FA">
        <w:t xml:space="preserve"> más adelante</w:t>
      </w:r>
      <w:r w:rsidR="003B267D">
        <w:t xml:space="preserve">, al ponerles nombre a todos ellos: </w:t>
      </w:r>
      <w:r w:rsidR="003B267D" w:rsidRPr="008714E7">
        <w:rPr>
          <w:b/>
          <w:bCs/>
          <w:i/>
          <w:iCs/>
        </w:rPr>
        <w:t>la sumisión de la naturaleza entera al hombre forma parte por consiguiente del designio de Dios</w:t>
      </w:r>
      <w:r w:rsidR="003B267D" w:rsidRPr="003B267D">
        <w:t>.</w:t>
      </w:r>
      <w:r w:rsidRPr="001574FA">
        <w:t xml:space="preserve"> El autor nos da aquí una verdadera «definición» del hombre. Si Dios «</w:t>
      </w:r>
      <w:r w:rsidRPr="00F13D3B">
        <w:rPr>
          <w:i/>
          <w:iCs/>
        </w:rPr>
        <w:t>planta un jardín en Edén, al oriente</w:t>
      </w:r>
      <w:r w:rsidRPr="001574FA">
        <w:t xml:space="preserve">», como un oasis verdeante en medio de la estepa árida, es para colocar allí al hombre. </w:t>
      </w:r>
    </w:p>
    <w:p w:rsidR="00F13D3B" w:rsidRPr="008714E7" w:rsidRDefault="00F13D3B" w:rsidP="00F13D3B">
      <w:pPr>
        <w:rPr>
          <w:b/>
          <w:bCs/>
          <w:i/>
          <w:iCs/>
        </w:rPr>
      </w:pPr>
      <w:r>
        <w:lastRenderedPageBreak/>
        <w:t xml:space="preserve">Y aquí </w:t>
      </w:r>
      <w:r w:rsidR="001574FA" w:rsidRPr="001574FA">
        <w:t xml:space="preserve">el hombre </w:t>
      </w:r>
      <w:r>
        <w:t>recibe</w:t>
      </w:r>
      <w:r w:rsidR="003B267D">
        <w:t xml:space="preserve"> una función precisa</w:t>
      </w:r>
      <w:r w:rsidR="001574FA" w:rsidRPr="001574FA">
        <w:t xml:space="preserve">: </w:t>
      </w:r>
      <w:r>
        <w:t>«</w:t>
      </w:r>
      <w:r w:rsidR="001574FA" w:rsidRPr="00F13D3B">
        <w:rPr>
          <w:i/>
          <w:iCs/>
        </w:rPr>
        <w:t>guardar el jardín y cultivarlo</w:t>
      </w:r>
      <w:r>
        <w:t>»</w:t>
      </w:r>
      <w:r w:rsidR="001574FA" w:rsidRPr="001574FA">
        <w:t xml:space="preserve">. De esta forma, </w:t>
      </w:r>
      <w:r w:rsidR="001574FA" w:rsidRPr="008714E7">
        <w:rPr>
          <w:b/>
          <w:bCs/>
          <w:i/>
          <w:iCs/>
        </w:rPr>
        <w:t>el trabajo del hombre sobre la naturaleza queda valorizado de antemano</w:t>
      </w:r>
      <w:r w:rsidR="001574FA" w:rsidRPr="001574FA">
        <w:t xml:space="preserve">: no se trata de un castigo por el pecado, como se ha dicho a veces, sino que </w:t>
      </w:r>
      <w:r w:rsidR="001574FA" w:rsidRPr="008714E7">
        <w:rPr>
          <w:b/>
          <w:bCs/>
          <w:i/>
          <w:iCs/>
        </w:rPr>
        <w:t xml:space="preserve">forma parte integrante de la vocación </w:t>
      </w:r>
      <w:r w:rsidRPr="008714E7">
        <w:rPr>
          <w:b/>
          <w:bCs/>
          <w:i/>
          <w:iCs/>
        </w:rPr>
        <w:t>d</w:t>
      </w:r>
      <w:r w:rsidR="001574FA" w:rsidRPr="008714E7">
        <w:rPr>
          <w:b/>
          <w:bCs/>
          <w:i/>
          <w:iCs/>
        </w:rPr>
        <w:t>el hombre.</w:t>
      </w:r>
    </w:p>
    <w:p w:rsidR="001574FA" w:rsidRDefault="00F13D3B" w:rsidP="003B267D">
      <w:r>
        <w:t>El autor echa mano de imágenes míticas del oriente para elaborar su relato</w:t>
      </w:r>
      <w:r w:rsidR="001574FA" w:rsidRPr="001574FA">
        <w:t xml:space="preserve">: </w:t>
      </w:r>
      <w:r>
        <w:t>«</w:t>
      </w:r>
      <w:r w:rsidR="001574FA" w:rsidRPr="00F13D3B">
        <w:rPr>
          <w:i/>
          <w:iCs/>
        </w:rPr>
        <w:t>el árbol de la vida</w:t>
      </w:r>
      <w:r>
        <w:t>»</w:t>
      </w:r>
      <w:r w:rsidR="001574FA" w:rsidRPr="001574FA">
        <w:t xml:space="preserve"> recuerda al mito paradisíaco atestiguado ya en la literatura sumeria</w:t>
      </w:r>
      <w:r>
        <w:t>,</w:t>
      </w:r>
      <w:r w:rsidR="003B267D">
        <w:t xml:space="preserve"> </w:t>
      </w:r>
      <w:r>
        <w:t>que también considera en sus relatos de la cr</w:t>
      </w:r>
      <w:r w:rsidR="003B267D">
        <w:t>e</w:t>
      </w:r>
      <w:r>
        <w:t xml:space="preserve">ación un lugar paradisíaco </w:t>
      </w:r>
      <w:r w:rsidR="003B267D">
        <w:t xml:space="preserve">maravilloso donde no existe ni el mal ni la enfermedad </w:t>
      </w:r>
      <w:r>
        <w:t>llamado</w:t>
      </w:r>
      <w:r w:rsidR="003B267D">
        <w:t xml:space="preserve"> </w:t>
      </w:r>
      <w:proofErr w:type="spellStart"/>
      <w:r w:rsidR="003B267D">
        <w:t>Dilmun</w:t>
      </w:r>
      <w:proofErr w:type="spellEnd"/>
      <w:r w:rsidR="001574FA" w:rsidRPr="001574FA">
        <w:t>. En los mitos orientales, el árbol de la vida representaba al alimento de la inmortalidad</w:t>
      </w:r>
      <w:r w:rsidR="003B267D">
        <w:t xml:space="preserve"> y aquí el autor le da el</w:t>
      </w:r>
      <w:r w:rsidR="001574FA" w:rsidRPr="001574FA">
        <w:t xml:space="preserve"> mismo significado simbólico. Al colocar esta </w:t>
      </w:r>
      <w:proofErr w:type="gramStart"/>
      <w:r w:rsidR="001574FA" w:rsidRPr="001574FA">
        <w:t>!</w:t>
      </w:r>
      <w:proofErr w:type="gramEnd"/>
      <w:r w:rsidR="001574FA" w:rsidRPr="001574FA">
        <w:t>imaginería paradisí</w:t>
      </w:r>
      <w:r w:rsidR="003B267D">
        <w:t>aca al comienzo de la historia</w:t>
      </w:r>
      <w:r w:rsidR="001574FA" w:rsidRPr="001574FA">
        <w:t xml:space="preserve"> sagrada, el narrad</w:t>
      </w:r>
      <w:r w:rsidR="003B267D">
        <w:t xml:space="preserve">or le da una especie de valor </w:t>
      </w:r>
      <w:r w:rsidR="001574FA" w:rsidRPr="001574FA">
        <w:t>profético:</w:t>
      </w:r>
      <w:r w:rsidR="003B267D">
        <w:t xml:space="preserve"> </w:t>
      </w:r>
      <w:r w:rsidR="003B267D" w:rsidRPr="003B267D">
        <w:rPr>
          <w:b/>
          <w:bCs/>
          <w:i/>
          <w:iCs/>
        </w:rPr>
        <w:t>y es que</w:t>
      </w:r>
      <w:r w:rsidR="001574FA" w:rsidRPr="003B267D">
        <w:rPr>
          <w:b/>
          <w:bCs/>
          <w:i/>
          <w:iCs/>
        </w:rPr>
        <w:t xml:space="preserve"> el deseo del paraíso no es para el hombre un sueño ilusorio, </w:t>
      </w:r>
      <w:r w:rsidR="003B267D" w:rsidRPr="003B267D">
        <w:rPr>
          <w:b/>
          <w:bCs/>
          <w:i/>
          <w:iCs/>
        </w:rPr>
        <w:t>sino el oscuro presen</w:t>
      </w:r>
      <w:r w:rsidR="001574FA" w:rsidRPr="003B267D">
        <w:rPr>
          <w:b/>
          <w:bCs/>
          <w:i/>
          <w:iCs/>
        </w:rPr>
        <w:t>timiento de la felicidad para la que Dios le ha creado</w:t>
      </w:r>
      <w:r w:rsidR="003B267D">
        <w:rPr>
          <w:rStyle w:val="Refdenotaalpie"/>
        </w:rPr>
        <w:footnoteReference w:id="5"/>
      </w:r>
      <w:r w:rsidR="001574FA" w:rsidRPr="001574FA">
        <w:t xml:space="preserve">. </w:t>
      </w:r>
      <w:r w:rsidR="001574FA" w:rsidRPr="008714E7">
        <w:rPr>
          <w:b/>
          <w:bCs/>
          <w:i/>
          <w:iCs/>
        </w:rPr>
        <w:t>El autor precisa de este modo el destino divino del hombre</w:t>
      </w:r>
      <w:r w:rsidR="003B267D">
        <w:t>.</w:t>
      </w:r>
      <w:r w:rsidR="008714E7">
        <w:t xml:space="preserve"> Hasta aquí la reflexión sobre la Primera Lectura.</w:t>
      </w:r>
    </w:p>
    <w:p w:rsidR="0028618E" w:rsidRDefault="008714E7" w:rsidP="0028618E">
      <w:r>
        <w:t xml:space="preserve">El Evangelio </w:t>
      </w:r>
      <w:r w:rsidRPr="008714E7">
        <w:t>muestra a Jesús enunciando ante los dos grupos de seguidores</w:t>
      </w:r>
      <w:r w:rsidR="0028618E">
        <w:t xml:space="preserve"> (la gente y sus discípulos)</w:t>
      </w:r>
      <w:r w:rsidRPr="008714E7">
        <w:t xml:space="preserve"> un principio diametralmente opuesto a la enseñanza farisea: expone lo que aleja o se</w:t>
      </w:r>
      <w:r w:rsidR="0028618E">
        <w:t>para a cualquier hombre de Dios. En efecto, Jesús habla de lo que contamina o no contamina al hombre, en definitiva, lo que lo hace ser impuro o no.</w:t>
      </w:r>
    </w:p>
    <w:p w:rsidR="00097EFD" w:rsidRDefault="00097EFD" w:rsidP="00097EFD">
      <w:r>
        <w:t>Como sabemos</w:t>
      </w:r>
      <w:r w:rsidRPr="00097EFD">
        <w:t xml:space="preserve">, en el lenguaje religioso, lo </w:t>
      </w:r>
      <w:r>
        <w:t>impuro</w:t>
      </w:r>
      <w:r w:rsidRPr="00097EFD">
        <w:t xml:space="preserve"> es lo que está fuera del ámbito de lo divino o, en otras palabras, lo que está lejos de Dios, aquello por lo que él no se interesa y queda al arbitrio de los hombres. Para los fariseos, estaban lejos de Dios y fuera de su ámbito todos l</w:t>
      </w:r>
      <w:r>
        <w:t>os que no pertenecían a Israel (porque era el pueblo consagrado a Dios),</w:t>
      </w:r>
      <w:r w:rsidRPr="00097EFD">
        <w:t xml:space="preserve"> en particular los paganos, pero también los que, dentro de Israel, no se mantenían en el favor divino mediante la estricta observancia de la Ley.</w:t>
      </w:r>
    </w:p>
    <w:p w:rsidR="00097EFD" w:rsidRDefault="00097EFD" w:rsidP="00097EFD">
      <w:r>
        <w:t xml:space="preserve">Lo </w:t>
      </w:r>
      <w:r>
        <w:t xml:space="preserve">que aleja al hombre de Dios no es lo exterior; el hombre no sale del ámbito divino por el contacto con realidades que están fuera de él. </w:t>
      </w:r>
      <w:r>
        <w:t>Jesús se opone frontalmente a las tradiciones judías referentes a la pureza (que le daban al pueblo de Israel identidad propia)</w:t>
      </w:r>
      <w:r>
        <w:t xml:space="preserve"> </w:t>
      </w:r>
    </w:p>
    <w:p w:rsidR="00097EFD" w:rsidRDefault="00097EFD" w:rsidP="00097EFD">
      <w:r>
        <w:t xml:space="preserve">La segunda parte del dicho </w:t>
      </w:r>
      <w:r>
        <w:t>de Jesús afirma que es el hombre mismo quien puede alejarse de Dios</w:t>
      </w:r>
      <w:r>
        <w:t xml:space="preserve">: las cosas no son puras o impuras, agradables o desagradables a Dios, sólo las personas según su disposición interior. </w:t>
      </w:r>
    </w:p>
    <w:p w:rsidR="00805697" w:rsidRDefault="00805697" w:rsidP="00805697">
      <w:r>
        <w:t>Pero sus discípulos siguen sin entender y califican el dicho de Jesús de «</w:t>
      </w:r>
      <w:r w:rsidRPr="00805697">
        <w:rPr>
          <w:i/>
          <w:iCs/>
        </w:rPr>
        <w:t>parábola</w:t>
      </w:r>
      <w:r>
        <w:t>», cuando Jesús no había dicho ninguna parábola, había hablado claramente: «</w:t>
      </w:r>
      <w:r w:rsidRPr="00805697">
        <w:rPr>
          <w:i/>
          <w:iCs/>
        </w:rPr>
        <w:t>escúchenme todos y entiéndanme</w:t>
      </w:r>
      <w:r>
        <w:t>», había dicho. Vamos, que para los discípulos lo que había dicho abiertamente y sin tapujos se había convertido para ellos en un enigma.</w:t>
      </w:r>
    </w:p>
    <w:p w:rsidR="00805697" w:rsidRDefault="00805697" w:rsidP="00805697">
      <w:r w:rsidRPr="00805697">
        <w:t xml:space="preserve">Los discípulos no comprenden, no porque el dicho de Jesús fuera oscuro, sino porque no pueden creer que signifique lo que dicen sus palabras; no entienden que Jesús anule toda la legislación del Levítico y del Deuteronomio referente al tabú de los alimentos de un </w:t>
      </w:r>
      <w:r w:rsidRPr="00805697">
        <w:lastRenderedPageBreak/>
        <w:t>plumazo. Lo que caracteriza al pueblo de Israel y lo separa de los demás pueblos no puede caer en saco roto</w:t>
      </w:r>
      <w:r>
        <w:t>, así de repente</w:t>
      </w:r>
      <w:r w:rsidRPr="00805697">
        <w:t>: el corazón de ellos todavía está vinculado a ese Israel excluyente y nacionalista</w:t>
      </w:r>
      <w:r>
        <w:t>.</w:t>
      </w:r>
    </w:p>
    <w:p w:rsidR="00805697" w:rsidRDefault="00805697" w:rsidP="00A7716C">
      <w:r>
        <w:t>Jesús les señala que es «</w:t>
      </w:r>
      <w:r w:rsidRPr="00805697">
        <w:rPr>
          <w:i/>
          <w:iCs/>
        </w:rPr>
        <w:t>de dentro</w:t>
      </w:r>
      <w:r>
        <w:t xml:space="preserve">», es decir, de la sede consciente de los comportamientos humanos donde se sitúan las disposiciones permanentes de donde dimanan </w:t>
      </w:r>
      <w:r w:rsidR="00A7716C">
        <w:t>esos</w:t>
      </w:r>
      <w:r>
        <w:t xml:space="preserve"> actos</w:t>
      </w:r>
      <w:r w:rsidR="00A7716C">
        <w:t xml:space="preserve">; y enumera unas disposiciones interiores: unas (el segundo grupo, en singular) que </w:t>
      </w:r>
      <w:r w:rsidR="00A7716C" w:rsidRPr="00A7716C">
        <w:t xml:space="preserve">absorben la vida del hombre impidiéndole centrarla en el amor a todos y en su propio crecimiento como persona; otras </w:t>
      </w:r>
      <w:r w:rsidR="00A7716C">
        <w:t xml:space="preserve">( el primer grupo, en plural) </w:t>
      </w:r>
      <w:r w:rsidR="00A7716C" w:rsidRPr="00A7716C">
        <w:t>vician al hombre por dentro y lo llevan a causar daño a los demás, oponiéndose así frontalmente al amor, única senda de vida.</w:t>
      </w:r>
    </w:p>
    <w:p w:rsidR="00A7716C" w:rsidRDefault="00A7716C" w:rsidP="00A7716C">
      <w:r>
        <w:t xml:space="preserve">Conclusión: </w:t>
      </w:r>
      <w:r w:rsidRPr="00A7716C">
        <w:t>Lo que aleja de Dios es hacerse daño a uno mismo o hacerlo a otros</w:t>
      </w:r>
      <w:r>
        <w:t xml:space="preserve">. </w:t>
      </w:r>
      <w:r w:rsidRPr="00A7716C">
        <w:t xml:space="preserve">Libera así Jesús de los preceptos esclavizantes de la antigua Ley, pone como criterio de la cercanía a Dios el amor al prójimo y derriba la barrera entre judíos y paganos, condición para la creación de una humanidad nueva y fraterna. </w:t>
      </w:r>
    </w:p>
    <w:p w:rsidR="00A7716C" w:rsidRDefault="00A7716C" w:rsidP="00BC5497">
      <w:r w:rsidRPr="00A7716C">
        <w:t>A lo largo del evangelio, Jesús va tirando abajo los tabúes de Levítico y Deuteronomio: los de la lepra, tocando al leproso</w:t>
      </w:r>
      <w:r w:rsidR="00BC5497">
        <w:rPr>
          <w:rStyle w:val="Refdenotaalpie"/>
        </w:rPr>
        <w:footnoteReference w:id="6"/>
      </w:r>
      <w:r w:rsidRPr="00A7716C">
        <w:t>; los de la muerte,</w:t>
      </w:r>
      <w:r w:rsidR="00BC5497">
        <w:t xml:space="preserve"> tocando el cadáver de la niña</w:t>
      </w:r>
      <w:r w:rsidR="00BC5497">
        <w:rPr>
          <w:rStyle w:val="Refdenotaalpie"/>
        </w:rPr>
        <w:footnoteReference w:id="7"/>
      </w:r>
      <w:r w:rsidRPr="00A7716C">
        <w:t>; en este pasaje, los que concernían a la impureza de a</w:t>
      </w:r>
      <w:r>
        <w:t xml:space="preserve">limentos, más tarde con </w:t>
      </w:r>
      <w:r w:rsidR="00BC5497">
        <w:t>objetos y personas</w:t>
      </w:r>
      <w:r w:rsidR="00BC5497">
        <w:rPr>
          <w:rStyle w:val="Refdenotaalpie"/>
        </w:rPr>
        <w:footnoteReference w:id="8"/>
      </w:r>
      <w:r w:rsidRPr="00A7716C">
        <w:t>. Para hacer posible la universalidad, se distancia de la cultura judía y de su práctica religiosa</w:t>
      </w:r>
      <w:r w:rsidR="00484F86">
        <w:rPr>
          <w:rStyle w:val="Refdenotaalpie"/>
        </w:rPr>
        <w:footnoteReference w:id="9"/>
      </w:r>
      <w:r>
        <w:t>.</w:t>
      </w:r>
    </w:p>
    <w:sectPr w:rsidR="00A7716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C7" w:rsidRDefault="002C5CC7" w:rsidP="003C3962">
      <w:r>
        <w:separator/>
      </w:r>
    </w:p>
  </w:endnote>
  <w:endnote w:type="continuationSeparator" w:id="0">
    <w:p w:rsidR="002C5CC7" w:rsidRDefault="002C5CC7" w:rsidP="003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8" w:rsidRPr="00F571DF" w:rsidRDefault="004804B8" w:rsidP="004804B8">
    <w:pPr>
      <w:pStyle w:val="Piedepgina"/>
      <w:jc w:val="right"/>
    </w:pPr>
    <w:r w:rsidRPr="00F571DF">
      <w:fldChar w:fldCharType="begin"/>
    </w:r>
    <w:r w:rsidRPr="00F571DF">
      <w:instrText>PAGE   \* MERGEFORMAT</w:instrText>
    </w:r>
    <w:r w:rsidRPr="00F571DF">
      <w:fldChar w:fldCharType="separate"/>
    </w:r>
    <w:r w:rsidR="000F3EB7" w:rsidRPr="000F3EB7">
      <w:rPr>
        <w:noProof/>
        <w:lang w:val="es-ES"/>
      </w:rPr>
      <w:t>1</w:t>
    </w:r>
    <w:r w:rsidRPr="00F571D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C7" w:rsidRDefault="002C5CC7" w:rsidP="003C3962">
      <w:r>
        <w:separator/>
      </w:r>
    </w:p>
  </w:footnote>
  <w:footnote w:type="continuationSeparator" w:id="0">
    <w:p w:rsidR="002C5CC7" w:rsidRDefault="002C5CC7" w:rsidP="003C3962">
      <w:r>
        <w:continuationSeparator/>
      </w:r>
    </w:p>
  </w:footnote>
  <w:footnote w:id="1">
    <w:p w:rsidR="00927605" w:rsidRPr="00806846" w:rsidRDefault="00927605" w:rsidP="00927605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806846">
        <w:rPr>
          <w:smallCaps/>
        </w:rPr>
        <w:t xml:space="preserve">Pierre </w:t>
      </w:r>
      <w:proofErr w:type="spellStart"/>
      <w:r w:rsidRPr="00806846">
        <w:rPr>
          <w:smallCaps/>
        </w:rPr>
        <w:t>Grelot</w:t>
      </w:r>
      <w:proofErr w:type="spellEnd"/>
      <w:r>
        <w:t xml:space="preserve">. </w:t>
      </w:r>
      <w:r w:rsidRPr="00806846">
        <w:rPr>
          <w:i/>
          <w:iCs/>
        </w:rPr>
        <w:t>Hombre ¿quién eres? Los once primeros capítulos del Génesis</w:t>
      </w:r>
      <w:r>
        <w:t>. Ed. Verbo Divino. Estella (Navarra), 1976</w:t>
      </w:r>
    </w:p>
  </w:footnote>
  <w:footnote w:id="2">
    <w:p w:rsidR="00E03AA6" w:rsidRPr="00E03AA6" w:rsidRDefault="00E03A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Como si fuera un ser humano toma polvo y hace una figura, le sopla, planta un jardín. Más tarde lo “veremos” caminando por el jardín a la hora de la tarde…</w:t>
      </w:r>
    </w:p>
  </w:footnote>
  <w:footnote w:id="3">
    <w:p w:rsidR="001574FA" w:rsidRPr="001574FA" w:rsidRDefault="001574FA" w:rsidP="001574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3,19</w:t>
      </w:r>
    </w:p>
  </w:footnote>
  <w:footnote w:id="4">
    <w:p w:rsidR="00F13D3B" w:rsidRPr="00F13D3B" w:rsidRDefault="00F13D3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«Dios creó al hombre», es decir, «Dios creó al </w:t>
      </w:r>
      <w:proofErr w:type="spellStart"/>
      <w:r w:rsidRPr="00F13D3B">
        <w:rPr>
          <w:i/>
          <w:iCs/>
          <w:lang w:val="es-ES"/>
        </w:rPr>
        <w:t>adam</w:t>
      </w:r>
      <w:proofErr w:type="spellEnd"/>
      <w:r>
        <w:rPr>
          <w:lang w:val="es-ES"/>
        </w:rPr>
        <w:t>», pues hombre, ser humano, en hebreo se dice así: «</w:t>
      </w:r>
      <w:proofErr w:type="spellStart"/>
      <w:r w:rsidRPr="000F3EB7">
        <w:rPr>
          <w:i/>
          <w:iCs/>
          <w:lang w:val="es-ES"/>
        </w:rPr>
        <w:t>adam</w:t>
      </w:r>
      <w:proofErr w:type="spellEnd"/>
      <w:r>
        <w:rPr>
          <w:lang w:val="es-ES"/>
        </w:rPr>
        <w:t>».</w:t>
      </w:r>
      <w:bookmarkStart w:id="0" w:name="_GoBack"/>
      <w:bookmarkEnd w:id="0"/>
    </w:p>
  </w:footnote>
  <w:footnote w:id="5">
    <w:p w:rsidR="003B267D" w:rsidRPr="003B267D" w:rsidRDefault="003B267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574FA">
        <w:t>Por eso, puede recogerse esta misma imagen en los oráculos proféticos</w:t>
      </w:r>
      <w:r>
        <w:t xml:space="preserve"> posteriores</w:t>
      </w:r>
      <w:r w:rsidRPr="001574FA">
        <w:t xml:space="preserve"> que describen el término de los designios de Dios (cf. Is 11, 6-8; 65, 25; Ez 36, 25; Is 51, 3; etc.)</w:t>
      </w:r>
    </w:p>
  </w:footnote>
  <w:footnote w:id="6">
    <w:p w:rsidR="00BC5497" w:rsidRPr="00BC5497" w:rsidRDefault="00BC549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7716C">
        <w:t>1,40</w:t>
      </w:r>
    </w:p>
  </w:footnote>
  <w:footnote w:id="7">
    <w:p w:rsidR="00BC5497" w:rsidRPr="00BC5497" w:rsidRDefault="00BC549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7716C">
        <w:t>5,41</w:t>
      </w:r>
    </w:p>
  </w:footnote>
  <w:footnote w:id="8">
    <w:p w:rsidR="00BC5497" w:rsidRPr="00BC5497" w:rsidRDefault="00BC549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t>7</w:t>
      </w:r>
      <w:r w:rsidRPr="00A7716C">
        <w:t>,2.19</w:t>
      </w:r>
    </w:p>
  </w:footnote>
  <w:footnote w:id="9">
    <w:p w:rsidR="00484F86" w:rsidRPr="00484F86" w:rsidRDefault="00484F8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484F86">
        <w:rPr>
          <w:smallCaps/>
          <w:lang w:val="es-ES"/>
        </w:rPr>
        <w:t>Juan Mateos y Fernando Camacho</w:t>
      </w:r>
      <w:r>
        <w:rPr>
          <w:lang w:val="es-ES"/>
        </w:rPr>
        <w:t xml:space="preserve">. </w:t>
      </w:r>
      <w:r w:rsidRPr="00484F86">
        <w:rPr>
          <w:i/>
          <w:iCs/>
          <w:lang w:val="es-ES"/>
        </w:rPr>
        <w:t xml:space="preserve">El Evangelio de Marcos. Análisis lingüístico y comentario exegético. </w:t>
      </w:r>
      <w:proofErr w:type="spellStart"/>
      <w:r w:rsidRPr="00484F86">
        <w:rPr>
          <w:i/>
          <w:iCs/>
          <w:lang w:val="es-ES"/>
        </w:rPr>
        <w:t>Vol</w:t>
      </w:r>
      <w:proofErr w:type="spellEnd"/>
      <w:r w:rsidRPr="00484F86">
        <w:rPr>
          <w:i/>
          <w:iCs/>
          <w:lang w:val="es-ES"/>
        </w:rPr>
        <w:t xml:space="preserve"> II</w:t>
      </w:r>
      <w:r>
        <w:rPr>
          <w:lang w:val="es-ES"/>
        </w:rPr>
        <w:t xml:space="preserve">. Ed. El </w:t>
      </w:r>
      <w:proofErr w:type="spellStart"/>
      <w:r>
        <w:rPr>
          <w:lang w:val="es-ES"/>
        </w:rPr>
        <w:t>Almadro</w:t>
      </w:r>
      <w:proofErr w:type="spellEnd"/>
      <w:r>
        <w:rPr>
          <w:lang w:val="es-ES"/>
        </w:rPr>
        <w:t>. Córdoba, 1993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5851"/>
    <w:multiLevelType w:val="hybridMultilevel"/>
    <w:tmpl w:val="C540D24C"/>
    <w:lvl w:ilvl="0" w:tplc="1682FF8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78"/>
    <w:rsid w:val="00005D74"/>
    <w:rsid w:val="00007550"/>
    <w:rsid w:val="00015135"/>
    <w:rsid w:val="0005044B"/>
    <w:rsid w:val="00052859"/>
    <w:rsid w:val="00061D4D"/>
    <w:rsid w:val="00077AD8"/>
    <w:rsid w:val="00081481"/>
    <w:rsid w:val="00086473"/>
    <w:rsid w:val="00097038"/>
    <w:rsid w:val="00097EFD"/>
    <w:rsid w:val="000A229E"/>
    <w:rsid w:val="000B17B3"/>
    <w:rsid w:val="000B6C2E"/>
    <w:rsid w:val="000B7F7C"/>
    <w:rsid w:val="000C0BA1"/>
    <w:rsid w:val="000F3EB7"/>
    <w:rsid w:val="000F510C"/>
    <w:rsid w:val="00135B69"/>
    <w:rsid w:val="001574FA"/>
    <w:rsid w:val="001743A6"/>
    <w:rsid w:val="002066A1"/>
    <w:rsid w:val="00237BEE"/>
    <w:rsid w:val="00264F0E"/>
    <w:rsid w:val="00273B60"/>
    <w:rsid w:val="0028618E"/>
    <w:rsid w:val="002874B1"/>
    <w:rsid w:val="002A66B2"/>
    <w:rsid w:val="002C5CC7"/>
    <w:rsid w:val="002D1A52"/>
    <w:rsid w:val="00305CF9"/>
    <w:rsid w:val="00315639"/>
    <w:rsid w:val="003249B5"/>
    <w:rsid w:val="003373D8"/>
    <w:rsid w:val="00362ACB"/>
    <w:rsid w:val="003853AB"/>
    <w:rsid w:val="003B267D"/>
    <w:rsid w:val="003B76F5"/>
    <w:rsid w:val="003C3962"/>
    <w:rsid w:val="003E27D7"/>
    <w:rsid w:val="003F1624"/>
    <w:rsid w:val="003F55D9"/>
    <w:rsid w:val="004572F9"/>
    <w:rsid w:val="00463CFE"/>
    <w:rsid w:val="00466C9B"/>
    <w:rsid w:val="00470EF6"/>
    <w:rsid w:val="004804B8"/>
    <w:rsid w:val="00484F86"/>
    <w:rsid w:val="004C00CD"/>
    <w:rsid w:val="0051745D"/>
    <w:rsid w:val="005B7612"/>
    <w:rsid w:val="005E05F7"/>
    <w:rsid w:val="005E2B59"/>
    <w:rsid w:val="00600791"/>
    <w:rsid w:val="00632234"/>
    <w:rsid w:val="00652BDE"/>
    <w:rsid w:val="00656E21"/>
    <w:rsid w:val="006654EF"/>
    <w:rsid w:val="006B557A"/>
    <w:rsid w:val="006E6B83"/>
    <w:rsid w:val="007017C4"/>
    <w:rsid w:val="00704D15"/>
    <w:rsid w:val="00717FC9"/>
    <w:rsid w:val="0072483C"/>
    <w:rsid w:val="007330B3"/>
    <w:rsid w:val="007335CA"/>
    <w:rsid w:val="0073766C"/>
    <w:rsid w:val="0075450F"/>
    <w:rsid w:val="0075584C"/>
    <w:rsid w:val="007654E4"/>
    <w:rsid w:val="00765F71"/>
    <w:rsid w:val="00770612"/>
    <w:rsid w:val="007806F7"/>
    <w:rsid w:val="007B647D"/>
    <w:rsid w:val="00802ABB"/>
    <w:rsid w:val="00805697"/>
    <w:rsid w:val="00806846"/>
    <w:rsid w:val="00813490"/>
    <w:rsid w:val="00857F83"/>
    <w:rsid w:val="008714E7"/>
    <w:rsid w:val="00876D50"/>
    <w:rsid w:val="00891AB2"/>
    <w:rsid w:val="00892D23"/>
    <w:rsid w:val="008C060A"/>
    <w:rsid w:val="008D4F62"/>
    <w:rsid w:val="00927008"/>
    <w:rsid w:val="00927605"/>
    <w:rsid w:val="00950141"/>
    <w:rsid w:val="00981E06"/>
    <w:rsid w:val="00985083"/>
    <w:rsid w:val="009852E4"/>
    <w:rsid w:val="009B150D"/>
    <w:rsid w:val="009B6C21"/>
    <w:rsid w:val="009E2019"/>
    <w:rsid w:val="009F3D21"/>
    <w:rsid w:val="00A02742"/>
    <w:rsid w:val="00A11D87"/>
    <w:rsid w:val="00A26087"/>
    <w:rsid w:val="00A50704"/>
    <w:rsid w:val="00A573C1"/>
    <w:rsid w:val="00A57A24"/>
    <w:rsid w:val="00A603CB"/>
    <w:rsid w:val="00A7716C"/>
    <w:rsid w:val="00A82206"/>
    <w:rsid w:val="00A93A05"/>
    <w:rsid w:val="00A93F3A"/>
    <w:rsid w:val="00AA42DF"/>
    <w:rsid w:val="00AA7F70"/>
    <w:rsid w:val="00AB138C"/>
    <w:rsid w:val="00B700A4"/>
    <w:rsid w:val="00B75F35"/>
    <w:rsid w:val="00BC5497"/>
    <w:rsid w:val="00BD74FF"/>
    <w:rsid w:val="00BE183C"/>
    <w:rsid w:val="00BE2C51"/>
    <w:rsid w:val="00C07575"/>
    <w:rsid w:val="00C154FB"/>
    <w:rsid w:val="00C17D13"/>
    <w:rsid w:val="00C6456A"/>
    <w:rsid w:val="00C90AB3"/>
    <w:rsid w:val="00C9709F"/>
    <w:rsid w:val="00CB0002"/>
    <w:rsid w:val="00CC0A26"/>
    <w:rsid w:val="00CF5A54"/>
    <w:rsid w:val="00D05049"/>
    <w:rsid w:val="00D059E9"/>
    <w:rsid w:val="00D13628"/>
    <w:rsid w:val="00D14A7C"/>
    <w:rsid w:val="00D20432"/>
    <w:rsid w:val="00D206D2"/>
    <w:rsid w:val="00D4535B"/>
    <w:rsid w:val="00D546A4"/>
    <w:rsid w:val="00D6799C"/>
    <w:rsid w:val="00D813E8"/>
    <w:rsid w:val="00D93123"/>
    <w:rsid w:val="00DA5CD7"/>
    <w:rsid w:val="00DC2EA4"/>
    <w:rsid w:val="00DD4C5C"/>
    <w:rsid w:val="00E03AA6"/>
    <w:rsid w:val="00E20BE2"/>
    <w:rsid w:val="00E34D50"/>
    <w:rsid w:val="00E45435"/>
    <w:rsid w:val="00E45F46"/>
    <w:rsid w:val="00E64457"/>
    <w:rsid w:val="00E81378"/>
    <w:rsid w:val="00E822BE"/>
    <w:rsid w:val="00E82632"/>
    <w:rsid w:val="00E92075"/>
    <w:rsid w:val="00EA078E"/>
    <w:rsid w:val="00EC2E49"/>
    <w:rsid w:val="00ED296C"/>
    <w:rsid w:val="00EE772B"/>
    <w:rsid w:val="00EF777F"/>
    <w:rsid w:val="00F01075"/>
    <w:rsid w:val="00F10C43"/>
    <w:rsid w:val="00F13D3B"/>
    <w:rsid w:val="00F27E1D"/>
    <w:rsid w:val="00F36546"/>
    <w:rsid w:val="00F571DF"/>
    <w:rsid w:val="00F6457E"/>
    <w:rsid w:val="00F72525"/>
    <w:rsid w:val="00F9291C"/>
    <w:rsid w:val="00F959C5"/>
    <w:rsid w:val="00F96D04"/>
    <w:rsid w:val="00FD067B"/>
    <w:rsid w:val="00FE092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3"/>
    <w:pPr>
      <w:spacing w:after="120"/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652BD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BDE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83"/>
    <w:pPr>
      <w:spacing w:after="120"/>
      <w:ind w:left="0" w:firstLine="0"/>
    </w:pPr>
    <w:rPr>
      <w:rFonts w:eastAsia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1378"/>
  </w:style>
  <w:style w:type="paragraph" w:styleId="Textonotapie">
    <w:name w:val="footnote text"/>
    <w:basedOn w:val="Normal"/>
    <w:link w:val="TextonotapieCar"/>
    <w:uiPriority w:val="99"/>
    <w:unhideWhenUsed/>
    <w:rsid w:val="00652BD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BDE"/>
    <w:rPr>
      <w:rFonts w:eastAsia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C39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80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B8"/>
    <w:rPr>
      <w:rFonts w:ascii="Times New Roman" w:eastAsia="Calibri" w:hAnsi="Times New Roman" w:cs="Times New Roman"/>
      <w:i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5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645C-615C-43D3-A59F-9FFAD107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garcia guerrero</dc:creator>
  <cp:lastModifiedBy>EDUARDO</cp:lastModifiedBy>
  <cp:revision>7</cp:revision>
  <cp:lastPrinted>2021-02-10T06:35:00Z</cp:lastPrinted>
  <dcterms:created xsi:type="dcterms:W3CDTF">2021-02-10T06:28:00Z</dcterms:created>
  <dcterms:modified xsi:type="dcterms:W3CDTF">2021-02-10T06:39:00Z</dcterms:modified>
</cp:coreProperties>
</file>