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1688" w14:textId="080ADE25" w:rsidR="00007CE7" w:rsidRDefault="001361CC" w:rsidP="00D468EB">
      <w:pPr>
        <w:jc w:val="center"/>
        <w:rPr>
          <w:lang w:val="es-ES"/>
        </w:rPr>
      </w:pPr>
      <w:r w:rsidRPr="00B771A6">
        <w:rPr>
          <w:b/>
          <w:noProof/>
          <w:lang w:val="es-MX" w:eastAsia="es-MX" w:bidi="he-IL"/>
        </w:rPr>
        <w:drawing>
          <wp:anchor distT="0" distB="0" distL="114300" distR="114300" simplePos="0" relativeHeight="251659264" behindDoc="1" locked="0" layoutInCell="1" allowOverlap="1" wp14:anchorId="23F8EA3D" wp14:editId="49FB04EC">
            <wp:simplePos x="0" y="0"/>
            <wp:positionH relativeFrom="column">
              <wp:posOffset>-9434</wp:posOffset>
            </wp:positionH>
            <wp:positionV relativeFrom="paragraph">
              <wp:posOffset>290014</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008D7">
        <w:rPr>
          <w:b/>
          <w:lang w:val="es-ES"/>
        </w:rPr>
        <w:t>San Matías</w:t>
      </w:r>
      <w:r w:rsidR="007F20FA">
        <w:rPr>
          <w:b/>
          <w:lang w:val="es-ES"/>
        </w:rPr>
        <w:br/>
      </w:r>
    </w:p>
    <w:p w14:paraId="76098FAC" w14:textId="18BC8A97" w:rsidR="00461D5C" w:rsidRPr="005E188A" w:rsidRDefault="005156DB" w:rsidP="001361CC">
      <w:pPr>
        <w:jc w:val="right"/>
        <w:rPr>
          <w:lang w:val="es-ES"/>
        </w:rPr>
      </w:pPr>
      <w:r>
        <w:rPr>
          <w:lang w:val="es-ES"/>
        </w:rPr>
        <w:t>1</w:t>
      </w:r>
      <w:r w:rsidR="006008D7">
        <w:rPr>
          <w:lang w:val="es-ES"/>
        </w:rPr>
        <w:t>4</w:t>
      </w:r>
      <w:r w:rsidR="00461D5C" w:rsidRPr="005E188A">
        <w:rPr>
          <w:lang w:val="es-ES"/>
        </w:rPr>
        <w:t xml:space="preserve"> de </w:t>
      </w:r>
      <w:r w:rsidR="00D468EB">
        <w:rPr>
          <w:lang w:val="es-ES"/>
        </w:rPr>
        <w:t>mayo</w:t>
      </w:r>
      <w:r w:rsidR="00461D5C" w:rsidRPr="005E188A">
        <w:rPr>
          <w:lang w:val="es-ES"/>
        </w:rPr>
        <w:t xml:space="preserve"> de 20</w:t>
      </w:r>
      <w:r w:rsidR="003D343F">
        <w:rPr>
          <w:lang w:val="es-ES"/>
        </w:rPr>
        <w:t>2</w:t>
      </w:r>
      <w:r w:rsidR="001361CC">
        <w:rPr>
          <w:lang w:val="es-ES"/>
        </w:rPr>
        <w:t>1</w:t>
      </w:r>
    </w:p>
    <w:p w14:paraId="3068B666" w14:textId="0F1EC3D7" w:rsidR="008C6496" w:rsidRDefault="00120FF5" w:rsidP="00461D5C">
      <w:pPr>
        <w:jc w:val="right"/>
        <w:rPr>
          <w:sz w:val="16"/>
          <w:szCs w:val="16"/>
          <w:lang w:val="es-MX"/>
        </w:rPr>
      </w:pPr>
      <w:r>
        <w:rPr>
          <w:sz w:val="16"/>
          <w:szCs w:val="16"/>
          <w:lang w:val="es-MX"/>
        </w:rPr>
        <w:t xml:space="preserve">Hech </w:t>
      </w:r>
      <w:r w:rsidR="006008D7">
        <w:rPr>
          <w:sz w:val="16"/>
          <w:szCs w:val="16"/>
          <w:lang w:val="es-MX"/>
        </w:rPr>
        <w:t>1, 15-17.20-26</w:t>
      </w:r>
      <w:r w:rsidR="00461D5C">
        <w:rPr>
          <w:sz w:val="16"/>
          <w:szCs w:val="16"/>
          <w:lang w:val="es-MX"/>
        </w:rPr>
        <w:br/>
        <w:t xml:space="preserve">Sal </w:t>
      </w:r>
      <w:r w:rsidR="006008D7">
        <w:rPr>
          <w:sz w:val="16"/>
          <w:szCs w:val="16"/>
          <w:lang w:val="es-MX"/>
        </w:rPr>
        <w:t>112</w:t>
      </w:r>
    </w:p>
    <w:p w14:paraId="67D99FC2" w14:textId="64B74111" w:rsidR="00461D5C" w:rsidRDefault="0012105B" w:rsidP="00461D5C">
      <w:pPr>
        <w:jc w:val="right"/>
        <w:rPr>
          <w:lang w:val="es-ES"/>
        </w:rPr>
      </w:pPr>
      <w:r>
        <w:rPr>
          <w:sz w:val="16"/>
          <w:szCs w:val="16"/>
          <w:lang w:val="es-MX"/>
        </w:rPr>
        <w:t xml:space="preserve">Jn </w:t>
      </w:r>
      <w:r w:rsidR="006008D7">
        <w:rPr>
          <w:sz w:val="16"/>
          <w:szCs w:val="16"/>
          <w:lang w:val="es-MX"/>
        </w:rPr>
        <w:t>15, 9-17</w:t>
      </w:r>
    </w:p>
    <w:p w14:paraId="7693F1B4" w14:textId="74C05369" w:rsidR="00525312" w:rsidRPr="006008D7" w:rsidRDefault="00007CE7" w:rsidP="0047299A">
      <w:pPr>
        <w:jc w:val="right"/>
        <w:rPr>
          <w:i/>
          <w:sz w:val="20"/>
          <w:szCs w:val="20"/>
          <w:lang w:val="es-ES"/>
        </w:rPr>
      </w:pPr>
      <w:r w:rsidRPr="006008D7">
        <w:rPr>
          <w:i/>
          <w:sz w:val="20"/>
          <w:szCs w:val="20"/>
          <w:lang w:val="es-ES"/>
        </w:rPr>
        <w:t>P. Eduardo Suanzes,</w:t>
      </w:r>
      <w:r w:rsidR="00B63961" w:rsidRPr="006008D7">
        <w:rPr>
          <w:i/>
          <w:sz w:val="20"/>
          <w:szCs w:val="20"/>
          <w:lang w:val="es-ES"/>
        </w:rPr>
        <w:t xml:space="preserve"> </w:t>
      </w:r>
      <w:r w:rsidRPr="006008D7">
        <w:rPr>
          <w:i/>
          <w:sz w:val="20"/>
          <w:szCs w:val="20"/>
          <w:lang w:val="es-ES"/>
        </w:rPr>
        <w:t>msps</w:t>
      </w:r>
    </w:p>
    <w:p w14:paraId="3BBED15A" w14:textId="77777777" w:rsidR="00F3290E" w:rsidRDefault="00F3290E" w:rsidP="00007CE7">
      <w:pPr>
        <w:rPr>
          <w:lang w:val="es-ES"/>
        </w:rPr>
      </w:pPr>
    </w:p>
    <w:p w14:paraId="1FBD6DA2" w14:textId="166CADC4" w:rsidR="00A5002B" w:rsidRDefault="00A5002B" w:rsidP="00007CE7">
      <w:pPr>
        <w:rPr>
          <w:lang w:val="es-ES"/>
        </w:rPr>
      </w:pPr>
      <w:r>
        <w:rPr>
          <w:lang w:val="es-ES"/>
        </w:rPr>
        <w:t>Es el inicio de los Hechos de los Apóstoles. Pedro toma la palabra y argumenta sobre la necesidad de la elección de un nuevo apóstol. Judas traicionó desapareciendo del grupo y l</w:t>
      </w:r>
      <w:r w:rsidR="006008D7" w:rsidRPr="006008D7">
        <w:rPr>
          <w:lang w:val="es-ES"/>
        </w:rPr>
        <w:t xml:space="preserve">a consecuencia es que la providencia de Dios proveerá un sustituto para los doce, </w:t>
      </w:r>
      <w:r>
        <w:rPr>
          <w:lang w:val="es-ES"/>
        </w:rPr>
        <w:t>lo que da</w:t>
      </w:r>
      <w:r w:rsidR="006008D7" w:rsidRPr="006008D7">
        <w:rPr>
          <w:lang w:val="es-ES"/>
        </w:rPr>
        <w:t xml:space="preserve"> lugar a la elección por sorteo de Matías. De primordial importancia</w:t>
      </w:r>
      <w:r w:rsidR="001B219C">
        <w:rPr>
          <w:rStyle w:val="Refdenotaalpie"/>
          <w:lang w:val="es-ES"/>
        </w:rPr>
        <w:footnoteReference w:id="1"/>
      </w:r>
      <w:r w:rsidR="006008D7" w:rsidRPr="006008D7">
        <w:rPr>
          <w:lang w:val="es-ES"/>
        </w:rPr>
        <w:t xml:space="preserve"> es que Matías no fue elegido democráticamente, sino por sorteo, pero no sin que antes la comunidad reunida hubiese rezado. Después de comunicarse con Dios, echan suertes, y la intervención es clara: Dios ha elegido a Matías como sustituto de Judas entre los doce. </w:t>
      </w:r>
    </w:p>
    <w:p w14:paraId="10757C8D" w14:textId="77777777" w:rsidR="00A5002B" w:rsidRDefault="00A5002B" w:rsidP="00007CE7">
      <w:pPr>
        <w:rPr>
          <w:lang w:val="es-ES"/>
        </w:rPr>
      </w:pPr>
    </w:p>
    <w:p w14:paraId="640A5010" w14:textId="4A99EFAA" w:rsidR="00A5002B" w:rsidRDefault="00A5002B" w:rsidP="00007CE7">
      <w:pPr>
        <w:rPr>
          <w:lang w:val="es-ES"/>
        </w:rPr>
      </w:pPr>
      <w:r>
        <w:rPr>
          <w:lang w:val="es-ES"/>
        </w:rPr>
        <w:t>Sin embargo,</w:t>
      </w:r>
      <w:r w:rsidR="006008D7" w:rsidRPr="006008D7">
        <w:rPr>
          <w:lang w:val="es-ES"/>
        </w:rPr>
        <w:t xml:space="preserve"> una vez que Matías es elegido por sorteo para ocupar su puesto con los once y para estar con Pedro en Pentecostés (</w:t>
      </w:r>
      <w:r>
        <w:rPr>
          <w:lang w:val="es-ES"/>
        </w:rPr>
        <w:t>en</w:t>
      </w:r>
      <w:r w:rsidR="00666DEE">
        <w:rPr>
          <w:lang w:val="es-ES"/>
        </w:rPr>
        <w:t xml:space="preserve"> </w:t>
      </w:r>
      <w:r>
        <w:rPr>
          <w:lang w:val="es-ES"/>
        </w:rPr>
        <w:t>el capítulo siguiente</w:t>
      </w:r>
      <w:r w:rsidR="006008D7" w:rsidRPr="006008D7">
        <w:rPr>
          <w:lang w:val="es-ES"/>
        </w:rPr>
        <w:t xml:space="preserve">), desaparece de la escena; no se oye nada más sobre él. Es más, cuando Santiago, hijo de Zebedeo, es </w:t>
      </w:r>
      <w:r>
        <w:rPr>
          <w:lang w:val="es-ES"/>
        </w:rPr>
        <w:t>ajusticiado por Herodes Agripa</w:t>
      </w:r>
      <w:r>
        <w:rPr>
          <w:rStyle w:val="Refdenotaalpie"/>
          <w:lang w:val="es-ES"/>
        </w:rPr>
        <w:footnoteReference w:id="2"/>
      </w:r>
      <w:r w:rsidR="006008D7" w:rsidRPr="006008D7">
        <w:rPr>
          <w:lang w:val="es-ES"/>
        </w:rPr>
        <w:t>, no se siente la necesidad de reemplazarlo o de recomponer los doce</w:t>
      </w:r>
      <w:r>
        <w:rPr>
          <w:lang w:val="es-ES"/>
        </w:rPr>
        <w:t xml:space="preserve"> como aquí se está haciendo con Matías</w:t>
      </w:r>
      <w:r w:rsidR="006008D7" w:rsidRPr="006008D7">
        <w:rPr>
          <w:lang w:val="es-ES"/>
        </w:rPr>
        <w:t xml:space="preserve">. </w:t>
      </w:r>
    </w:p>
    <w:p w14:paraId="0DE497D1" w14:textId="77777777" w:rsidR="00A5002B" w:rsidRDefault="00A5002B" w:rsidP="00007CE7">
      <w:pPr>
        <w:rPr>
          <w:lang w:val="es-ES"/>
        </w:rPr>
      </w:pPr>
    </w:p>
    <w:p w14:paraId="25935DEA" w14:textId="31EBF5AD" w:rsidR="00A5002B" w:rsidRDefault="00A5002B" w:rsidP="00007CE7">
      <w:pPr>
        <w:rPr>
          <w:lang w:val="es-ES"/>
        </w:rPr>
      </w:pPr>
      <w:r>
        <w:rPr>
          <w:lang w:val="es-ES"/>
        </w:rPr>
        <w:t>Además, a</w:t>
      </w:r>
      <w:r w:rsidR="006008D7" w:rsidRPr="006008D7">
        <w:rPr>
          <w:lang w:val="es-ES"/>
        </w:rPr>
        <w:t xml:space="preserve"> la hora del «concilio</w:t>
      </w:r>
      <w:r>
        <w:rPr>
          <w:lang w:val="es-ES"/>
        </w:rPr>
        <w:t xml:space="preserve"> de Jerusalén</w:t>
      </w:r>
      <w:r w:rsidR="006008D7" w:rsidRPr="006008D7">
        <w:rPr>
          <w:lang w:val="es-ES"/>
        </w:rPr>
        <w:t>» no se hace mención de los doce, si bien está</w:t>
      </w:r>
      <w:r>
        <w:rPr>
          <w:lang w:val="es-ES"/>
        </w:rPr>
        <w:t>n incluidos en «los apóstoles»</w:t>
      </w:r>
      <w:r>
        <w:rPr>
          <w:rStyle w:val="Refdenotaalpie"/>
          <w:lang w:val="es-ES"/>
        </w:rPr>
        <w:footnoteReference w:id="3"/>
      </w:r>
      <w:r w:rsidR="006008D7" w:rsidRPr="006008D7">
        <w:rPr>
          <w:lang w:val="es-ES"/>
        </w:rPr>
        <w:t xml:space="preserve">; pero desaparecen también de la historia de los Hechos </w:t>
      </w:r>
      <w:r>
        <w:rPr>
          <w:lang w:val="es-ES"/>
        </w:rPr>
        <w:t>un poco más adelante</w:t>
      </w:r>
      <w:r w:rsidR="006008D7" w:rsidRPr="006008D7">
        <w:rPr>
          <w:lang w:val="es-ES"/>
        </w:rPr>
        <w:t xml:space="preserve">. </w:t>
      </w:r>
    </w:p>
    <w:p w14:paraId="43952CB5" w14:textId="77777777" w:rsidR="00A5002B" w:rsidRDefault="00A5002B" w:rsidP="00007CE7">
      <w:pPr>
        <w:rPr>
          <w:lang w:val="es-ES"/>
        </w:rPr>
      </w:pPr>
    </w:p>
    <w:p w14:paraId="65C8DC82" w14:textId="77777777" w:rsidR="00A5002B" w:rsidRDefault="006008D7" w:rsidP="00007CE7">
      <w:pPr>
        <w:rPr>
          <w:lang w:val="es-ES"/>
        </w:rPr>
      </w:pPr>
      <w:r w:rsidRPr="006008D7">
        <w:rPr>
          <w:lang w:val="es-ES"/>
        </w:rPr>
        <w:t xml:space="preserve">Así que </w:t>
      </w:r>
      <w:r w:rsidRPr="00A5002B">
        <w:rPr>
          <w:b/>
          <w:i/>
          <w:lang w:val="es-ES"/>
        </w:rPr>
        <w:t>los doce</w:t>
      </w:r>
      <w:r w:rsidRPr="006008D7">
        <w:rPr>
          <w:lang w:val="es-ES"/>
        </w:rPr>
        <w:t>, que habían desempeñado un papel importante al comienzo de la historia de la Iglesia, finalmente desaparecen. En el desarrollo de la tradición los obispos de la Iglesia son considerados como los s</w:t>
      </w:r>
      <w:r w:rsidR="00A5002B">
        <w:rPr>
          <w:lang w:val="es-ES"/>
        </w:rPr>
        <w:t>ucesores de los apóstoles</w:t>
      </w:r>
      <w:r w:rsidR="00A5002B">
        <w:rPr>
          <w:rStyle w:val="Refdenotaalpie"/>
          <w:lang w:val="es-ES"/>
        </w:rPr>
        <w:footnoteReference w:id="4"/>
      </w:r>
      <w:r w:rsidRPr="006008D7">
        <w:rPr>
          <w:lang w:val="es-ES"/>
        </w:rPr>
        <w:t xml:space="preserve">. Es significativo que ni </w:t>
      </w:r>
      <w:proofErr w:type="spellStart"/>
      <w:r w:rsidRPr="00A5002B">
        <w:rPr>
          <w:i/>
          <w:lang w:val="es-ES"/>
        </w:rPr>
        <w:t>apasto</w:t>
      </w:r>
      <w:r w:rsidR="00A5002B" w:rsidRPr="00A5002B">
        <w:rPr>
          <w:i/>
          <w:lang w:val="es-ES"/>
        </w:rPr>
        <w:t>l</w:t>
      </w:r>
      <w:r w:rsidRPr="00A5002B">
        <w:rPr>
          <w:i/>
          <w:lang w:val="es-ES"/>
        </w:rPr>
        <w:t>os</w:t>
      </w:r>
      <w:proofErr w:type="spellEnd"/>
      <w:r w:rsidRPr="006008D7">
        <w:rPr>
          <w:lang w:val="es-ES"/>
        </w:rPr>
        <w:t xml:space="preserve"> ni «</w:t>
      </w:r>
      <w:r w:rsidRPr="00A5002B">
        <w:rPr>
          <w:i/>
          <w:lang w:val="es-ES"/>
        </w:rPr>
        <w:t>los doce</w:t>
      </w:r>
      <w:r w:rsidRPr="006008D7">
        <w:rPr>
          <w:lang w:val="es-ES"/>
        </w:rPr>
        <w:t xml:space="preserve">» llegasen nunca a ser un título para designar una función u oficio en la Iglesia cristiana. Puede hablarse, en general, de los cristianos como «apóstoles», pero ése es un uso más amplio y extendido del nombre. </w:t>
      </w:r>
    </w:p>
    <w:p w14:paraId="203E9041" w14:textId="77777777" w:rsidR="00A5002B" w:rsidRDefault="00A5002B" w:rsidP="00007CE7">
      <w:pPr>
        <w:rPr>
          <w:lang w:val="es-ES"/>
        </w:rPr>
      </w:pPr>
    </w:p>
    <w:p w14:paraId="2B303B44" w14:textId="77777777" w:rsidR="00A5002B" w:rsidRDefault="006008D7" w:rsidP="00007CE7">
      <w:pPr>
        <w:rPr>
          <w:lang w:val="es-ES"/>
        </w:rPr>
      </w:pPr>
      <w:r w:rsidRPr="006008D7">
        <w:rPr>
          <w:lang w:val="es-ES"/>
        </w:rPr>
        <w:t xml:space="preserve">¿Por qué, pues, se sintió al principio la necesidad de recomponer los doce, </w:t>
      </w:r>
      <w:r w:rsidR="00A5002B">
        <w:rPr>
          <w:lang w:val="es-ES"/>
        </w:rPr>
        <w:t xml:space="preserve">como vemos en el relato de la Primera Lectura, </w:t>
      </w:r>
      <w:r w:rsidRPr="006008D7">
        <w:rPr>
          <w:lang w:val="es-ES"/>
        </w:rPr>
        <w:t xml:space="preserve">o por qué Lucas estaba preocupado por recomponer los doce en el primer episodio importante de los Hechos? La respuesta no se encuentra en este episodio, sino en su relación con lo que sigue en el capítulo 2. El grupo de los doce es recompuesto para que puedan dirigirse al pueblo de Israel reunido en Jerusalén en el primer gran día de fiesta después de la Pascua, la fiesta de Pentecostés. Lo que Pedro y los </w:t>
      </w:r>
      <w:r w:rsidRPr="006008D7">
        <w:rPr>
          <w:lang w:val="es-ES"/>
        </w:rPr>
        <w:lastRenderedPageBreak/>
        <w:t xml:space="preserve">otros once proclamarán en tan importante asamblea es el primer ejemplo del testimonio dado por los apóstoles </w:t>
      </w:r>
      <w:r w:rsidRPr="00A5002B">
        <w:rPr>
          <w:b/>
          <w:i/>
          <w:lang w:val="es-ES"/>
        </w:rPr>
        <w:t>a las doce tribus del pueblo de Dios</w:t>
      </w:r>
      <w:r w:rsidRPr="006008D7">
        <w:rPr>
          <w:lang w:val="es-ES"/>
        </w:rPr>
        <w:t xml:space="preserve">: a pesar de la muerte </w:t>
      </w:r>
      <w:r w:rsidR="00A5002B">
        <w:rPr>
          <w:lang w:val="es-ES"/>
        </w:rPr>
        <w:t>de Jesús</w:t>
      </w:r>
      <w:r w:rsidRPr="006008D7">
        <w:rPr>
          <w:lang w:val="es-ES"/>
        </w:rPr>
        <w:t xml:space="preserve">, Dios todavía dirige su mensaje de salvación primero a los hijos de Abrahán, a las doce tribus de Israel. Para preparar el escenario para esa proclamación, los doce tenían que estar recompuestos. Y puesto que Judas ya no estaba con ellos, la comunidad trató de reemplazarlo. </w:t>
      </w:r>
    </w:p>
    <w:p w14:paraId="04763797" w14:textId="77777777" w:rsidR="001B219C" w:rsidRDefault="001B219C" w:rsidP="00007CE7">
      <w:pPr>
        <w:rPr>
          <w:lang w:val="es-ES"/>
        </w:rPr>
      </w:pPr>
    </w:p>
    <w:p w14:paraId="044F3304" w14:textId="6B4E8BEA" w:rsidR="001B219C" w:rsidRDefault="001B219C" w:rsidP="00175D39">
      <w:pPr>
        <w:rPr>
          <w:rFonts w:ascii="Calibri" w:hAnsi="Calibri"/>
          <w:lang w:val="es-MX"/>
        </w:rPr>
      </w:pPr>
      <w:r w:rsidRPr="00956B60">
        <w:rPr>
          <w:lang w:val="es-MX"/>
        </w:rPr>
        <w:t>Para Lucas el apóstol es el que ha convivido históricamente con Jesús y ha s</w:t>
      </w:r>
      <w:r>
        <w:rPr>
          <w:lang w:val="es-MX"/>
        </w:rPr>
        <w:t>ido testigo de la Resurrección</w:t>
      </w:r>
      <w:r w:rsidR="003D343F" w:rsidRPr="00956B60">
        <w:rPr>
          <w:lang w:val="es-MX"/>
        </w:rPr>
        <w:t xml:space="preserve">, así lo </w:t>
      </w:r>
      <w:proofErr w:type="gramStart"/>
      <w:r w:rsidR="003D343F" w:rsidRPr="00956B60">
        <w:rPr>
          <w:lang w:val="es-MX"/>
        </w:rPr>
        <w:t>especifica</w:t>
      </w:r>
      <w:proofErr w:type="gramEnd"/>
      <w:r w:rsidR="003D343F" w:rsidRPr="00956B60">
        <w:rPr>
          <w:lang w:val="es-MX"/>
        </w:rPr>
        <w:t xml:space="preserve"> cuando se va a realizar la </w:t>
      </w:r>
      <w:r w:rsidR="003D343F">
        <w:rPr>
          <w:lang w:val="es-MX"/>
        </w:rPr>
        <w:t>elección de Matías</w:t>
      </w:r>
      <w:r w:rsidR="003D343F">
        <w:rPr>
          <w:rStyle w:val="Refdenotaalpie"/>
          <w:lang w:val="es-MX"/>
        </w:rPr>
        <w:footnoteReference w:id="5"/>
      </w:r>
      <w:r w:rsidR="003D343F">
        <w:rPr>
          <w:lang w:val="es-MX"/>
        </w:rPr>
        <w:t xml:space="preserve">. </w:t>
      </w:r>
      <w:r w:rsidRPr="00956B60">
        <w:rPr>
          <w:lang w:val="es-MX"/>
        </w:rPr>
        <w:t>Los apóstoles se convierten por ello en testigos cualificados de lo vivido y aprendido del Maestro, por lo que son enviados (eso significa apóstol) a predicar el Evangelio. Los doce son llamados personalmente por Jesús uno a uno por su nombre, símbolo de la identidad del ser humano.</w:t>
      </w:r>
      <w:r>
        <w:rPr>
          <w:lang w:val="es-MX"/>
        </w:rPr>
        <w:t xml:space="preserve"> Eso es lo que nos dice Jesús en el Evangelio: </w:t>
      </w:r>
      <w:r>
        <w:rPr>
          <w:rFonts w:ascii="Calibri" w:hAnsi="Calibri"/>
          <w:lang w:val="es-MX"/>
        </w:rPr>
        <w:t>«</w:t>
      </w:r>
      <w:r w:rsidRPr="001B219C">
        <w:rPr>
          <w:i/>
          <w:lang w:val="es-MX"/>
        </w:rPr>
        <w:t>no son ustedes los que me han elegido a mí, soy yo quien los ha elegido</w:t>
      </w:r>
      <w:r>
        <w:rPr>
          <w:rFonts w:ascii="Calibri" w:hAnsi="Calibri"/>
          <w:lang w:val="es-MX"/>
        </w:rPr>
        <w:t>»</w:t>
      </w:r>
      <w:r w:rsidR="00175D39">
        <w:rPr>
          <w:rFonts w:ascii="Calibri" w:hAnsi="Calibri"/>
          <w:lang w:val="es-MX"/>
        </w:rPr>
        <w:t>.</w:t>
      </w:r>
    </w:p>
    <w:p w14:paraId="1CF45067" w14:textId="77777777" w:rsidR="00175D39" w:rsidRDefault="00175D39" w:rsidP="001B219C">
      <w:pPr>
        <w:rPr>
          <w:rFonts w:ascii="Calibri" w:hAnsi="Calibri"/>
          <w:lang w:val="es-MX"/>
        </w:rPr>
      </w:pPr>
    </w:p>
    <w:p w14:paraId="4CA8F474" w14:textId="347D5E19" w:rsidR="00175D39" w:rsidRDefault="00175D39" w:rsidP="00175D39">
      <w:pPr>
        <w:rPr>
          <w:lang w:val="es-MX"/>
        </w:rPr>
      </w:pPr>
      <w:r>
        <w:rPr>
          <w:rFonts w:ascii="Calibri" w:hAnsi="Calibri"/>
          <w:lang w:val="es-MX"/>
        </w:rPr>
        <w:t xml:space="preserve">Porque Dios está eternamente amando está eternamente llamando. </w:t>
      </w:r>
      <w:r w:rsidRPr="00175D39">
        <w:rPr>
          <w:rFonts w:ascii="Calibri" w:hAnsi="Calibri"/>
          <w:lang w:val="es-MX"/>
        </w:rPr>
        <w:t>No existe en castellano un término para expresar el concepto, pero sería algo así como “el llamante”, “el llamador”, el que, por esencia, está eternamente llamando</w:t>
      </w:r>
      <w:r>
        <w:rPr>
          <w:rFonts w:ascii="Calibri" w:hAnsi="Calibri"/>
          <w:lang w:val="es-MX"/>
        </w:rPr>
        <w:t>, porque, por esencia, está eternamente amando. Y es que el término «vocación» es un término teológico que no habla en primer lugar del llamado, sino del «llamante», porque nos revela un aspecto fundamental de él.</w:t>
      </w:r>
      <w:r w:rsidRPr="00175D39">
        <w:t xml:space="preserve"> </w:t>
      </w:r>
      <w:r>
        <w:t xml:space="preserve">El nuestro es un Dios que llama y que llama porque ama, no pudiendo dejar de llamar, porque en él </w:t>
      </w:r>
      <w:r>
        <w:t>«</w:t>
      </w:r>
      <w:r>
        <w:t>llamar</w:t>
      </w:r>
      <w:r>
        <w:t>»</w:t>
      </w:r>
      <w:r>
        <w:t xml:space="preserve"> es voz del verbo </w:t>
      </w:r>
      <w:r>
        <w:t>«</w:t>
      </w:r>
      <w:r>
        <w:t>amar</w:t>
      </w:r>
      <w:r>
        <w:t>»</w:t>
      </w:r>
      <w:r>
        <w:t>. Y llama para manifestar su amor, para manifestar su cuidado y preocupación por el individuo, por la persona que es única para él</w:t>
      </w:r>
      <w:r>
        <w:rPr>
          <w:rStyle w:val="Refdenotaalpie"/>
        </w:rPr>
        <w:footnoteReference w:id="6"/>
      </w:r>
      <w:r>
        <w:t>.</w:t>
      </w:r>
    </w:p>
    <w:p w14:paraId="63FFC27B" w14:textId="77777777" w:rsidR="00A5002B" w:rsidRDefault="00A5002B" w:rsidP="00007CE7">
      <w:pPr>
        <w:rPr>
          <w:lang w:val="es-ES"/>
        </w:rPr>
      </w:pPr>
    </w:p>
    <w:p w14:paraId="6083B2D5" w14:textId="1E33BCFF" w:rsidR="00022639" w:rsidRDefault="006008D7" w:rsidP="00007CE7">
      <w:pPr>
        <w:rPr>
          <w:lang w:val="es-ES"/>
        </w:rPr>
      </w:pPr>
      <w:r w:rsidRPr="006008D7">
        <w:rPr>
          <w:lang w:val="es-ES"/>
        </w:rPr>
        <w:t xml:space="preserve">La deserción de Judas se cuenta en los cuatro evangelios. </w:t>
      </w:r>
      <w:r w:rsidR="00A5002B">
        <w:rPr>
          <w:lang w:val="es-ES"/>
        </w:rPr>
        <w:t>Ahora s</w:t>
      </w:r>
      <w:r w:rsidRPr="006008D7">
        <w:rPr>
          <w:lang w:val="es-ES"/>
        </w:rPr>
        <w:t>e presenta a Pedro viendo todo esto como algo previsto en la providencia de Dios, pronosticado, por supuesto, en el Antiguo Testamento. Esta es, pues, la justificación de la propuesta que Pedro hace a los ciento veinte primeros cristianos</w:t>
      </w:r>
      <w:r w:rsidR="001B219C">
        <w:rPr>
          <w:lang w:val="es-ES"/>
        </w:rPr>
        <w:t xml:space="preserve"> (curioso</w:t>
      </w:r>
      <w:r w:rsidR="001361CC">
        <w:rPr>
          <w:lang w:val="es-ES"/>
        </w:rPr>
        <w:t>…</w:t>
      </w:r>
      <w:r w:rsidR="001B219C">
        <w:rPr>
          <w:lang w:val="es-ES"/>
        </w:rPr>
        <w:t>, diez veces doce)</w:t>
      </w:r>
      <w:r w:rsidRPr="006008D7">
        <w:rPr>
          <w:lang w:val="es-ES"/>
        </w:rPr>
        <w:t>. El episodio instruye a los lectores cristianos</w:t>
      </w:r>
      <w:r w:rsidR="003F019A">
        <w:rPr>
          <w:lang w:val="es-ES"/>
        </w:rPr>
        <w:t xml:space="preserve"> en principio</w:t>
      </w:r>
      <w:r w:rsidRPr="006008D7">
        <w:rPr>
          <w:lang w:val="es-ES"/>
        </w:rPr>
        <w:t xml:space="preserve"> sobre dos cosas: cómo los seguidores de Cristo </w:t>
      </w:r>
      <w:r w:rsidR="001B219C">
        <w:rPr>
          <w:lang w:val="es-ES"/>
        </w:rPr>
        <w:t>pueden traicionarlo llegando</w:t>
      </w:r>
      <w:r w:rsidRPr="006008D7">
        <w:rPr>
          <w:lang w:val="es-ES"/>
        </w:rPr>
        <w:t xml:space="preserve"> a un final triste; pero también cómo Dios, en respuesta a la oración cristiana, puede sacar bien de tal incidente.</w:t>
      </w:r>
    </w:p>
    <w:p w14:paraId="7FEA6A20" w14:textId="77777777" w:rsidR="001B219C" w:rsidRDefault="001B219C" w:rsidP="00007CE7">
      <w:pPr>
        <w:rPr>
          <w:lang w:val="es-ES"/>
        </w:rPr>
      </w:pPr>
    </w:p>
    <w:p w14:paraId="5EF65252" w14:textId="673FC63D" w:rsidR="001B219C" w:rsidRDefault="003F019A" w:rsidP="001B219C">
      <w:pPr>
        <w:rPr>
          <w:lang w:val="es-ES"/>
        </w:rPr>
      </w:pPr>
      <w:r>
        <w:rPr>
          <w:lang w:val="es-ES"/>
        </w:rPr>
        <w:t>Pero o</w:t>
      </w:r>
      <w:r w:rsidR="001B219C">
        <w:rPr>
          <w:lang w:val="es-ES"/>
        </w:rPr>
        <w:t xml:space="preserve">tra enseñanza del relato </w:t>
      </w:r>
      <w:r>
        <w:rPr>
          <w:lang w:val="es-ES"/>
        </w:rPr>
        <w:t xml:space="preserve">de los Hechos </w:t>
      </w:r>
      <w:r w:rsidR="001B219C">
        <w:rPr>
          <w:lang w:val="es-ES"/>
        </w:rPr>
        <w:t xml:space="preserve">es que </w:t>
      </w:r>
      <w:r w:rsidR="001B219C" w:rsidRPr="0005226C">
        <w:rPr>
          <w:lang w:val="es-MX"/>
        </w:rPr>
        <w:t>los conflictos pueden darse, y en caso de que ocurran, han de resolverse dentro de la comunidad.</w:t>
      </w:r>
      <w:r w:rsidR="001B219C">
        <w:rPr>
          <w:lang w:val="es-MX"/>
        </w:rPr>
        <w:t xml:space="preserve"> </w:t>
      </w:r>
      <w:r w:rsidR="001B219C" w:rsidRPr="0005226C">
        <w:rPr>
          <w:lang w:val="es-MX"/>
        </w:rPr>
        <w:t xml:space="preserve">También en nuestras comunidades pueden darse hoy situaciones en que intentemos resolver los conflictos </w:t>
      </w:r>
      <w:r w:rsidR="001B219C">
        <w:rPr>
          <w:lang w:val="es-MX"/>
        </w:rPr>
        <w:t xml:space="preserve">por caminos que recorren paisajes </w:t>
      </w:r>
      <w:r w:rsidR="001B219C" w:rsidRPr="0005226C">
        <w:rPr>
          <w:lang w:val="es-MX"/>
        </w:rPr>
        <w:t xml:space="preserve">fuera de </w:t>
      </w:r>
      <w:r w:rsidR="001B219C">
        <w:rPr>
          <w:lang w:val="es-MX"/>
        </w:rPr>
        <w:t xml:space="preserve">la comunidad, </w:t>
      </w:r>
      <w:r>
        <w:rPr>
          <w:lang w:val="es-MX"/>
        </w:rPr>
        <w:t xml:space="preserve">o </w:t>
      </w:r>
      <w:r w:rsidR="001B219C">
        <w:rPr>
          <w:lang w:val="es-MX"/>
        </w:rPr>
        <w:t>con mis propios medios, o con otros</w:t>
      </w:r>
      <w:r w:rsidR="001B219C" w:rsidRPr="0005226C">
        <w:rPr>
          <w:lang w:val="es-MX"/>
        </w:rPr>
        <w:t>,</w:t>
      </w:r>
      <w:r w:rsidR="001B219C">
        <w:rPr>
          <w:lang w:val="es-MX"/>
        </w:rPr>
        <w:t xml:space="preserve"> pero al margen de la comunidad,</w:t>
      </w:r>
      <w:r w:rsidR="001B219C" w:rsidRPr="0005226C">
        <w:rPr>
          <w:lang w:val="es-MX"/>
        </w:rPr>
        <w:t xml:space="preserve"> apelando a otras </w:t>
      </w:r>
      <w:r w:rsidR="001B219C">
        <w:rPr>
          <w:lang w:val="es-MX"/>
        </w:rPr>
        <w:t>autoridades, tal vez a mi propio yo y criterio. Es la comunidad la que resuelve el caso del nuevo apóstol por el conflicto de la pérdida de Judas.</w:t>
      </w:r>
    </w:p>
    <w:sectPr w:rsidR="001B219C">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02C8F" w14:textId="77777777" w:rsidR="008262EA" w:rsidRDefault="008262EA" w:rsidP="00A93232">
      <w:r>
        <w:separator/>
      </w:r>
    </w:p>
  </w:endnote>
  <w:endnote w:type="continuationSeparator" w:id="0">
    <w:p w14:paraId="41905862" w14:textId="77777777" w:rsidR="008262EA" w:rsidRDefault="008262EA" w:rsidP="00A9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53AC" w14:textId="7777777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6FB7">
      <w:rPr>
        <w:rStyle w:val="Nmerodepgina"/>
        <w:noProof/>
      </w:rPr>
      <w:t>2</w:t>
    </w:r>
    <w:r>
      <w:rPr>
        <w:rStyle w:val="Nmerodepgina"/>
      </w:rPr>
      <w:fldChar w:fldCharType="end"/>
    </w:r>
  </w:p>
  <w:p w14:paraId="29CC8886" w14:textId="77777777" w:rsidR="00A93232" w:rsidRDefault="00A93232" w:rsidP="00A932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EC7E" w14:textId="396F449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5815">
      <w:rPr>
        <w:rStyle w:val="Nmerodepgina"/>
        <w:noProof/>
      </w:rPr>
      <w:t>1</w:t>
    </w:r>
    <w:r>
      <w:rPr>
        <w:rStyle w:val="Nmerodepgina"/>
      </w:rPr>
      <w:fldChar w:fldCharType="end"/>
    </w:r>
  </w:p>
  <w:p w14:paraId="55CDF474" w14:textId="77777777" w:rsidR="00A93232" w:rsidRDefault="00A93232" w:rsidP="00A932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BF641" w14:textId="77777777" w:rsidR="008262EA" w:rsidRDefault="008262EA" w:rsidP="00A93232">
      <w:r>
        <w:separator/>
      </w:r>
    </w:p>
  </w:footnote>
  <w:footnote w:type="continuationSeparator" w:id="0">
    <w:p w14:paraId="2562C6FA" w14:textId="77777777" w:rsidR="008262EA" w:rsidRDefault="008262EA" w:rsidP="00A93232">
      <w:r>
        <w:continuationSeparator/>
      </w:r>
    </w:p>
  </w:footnote>
  <w:footnote w:id="1">
    <w:p w14:paraId="6252E695" w14:textId="2FDE436D" w:rsidR="001B219C" w:rsidRPr="001B219C" w:rsidRDefault="001B219C">
      <w:pPr>
        <w:pStyle w:val="Textonotapie"/>
        <w:rPr>
          <w:lang w:val="es-ES"/>
        </w:rPr>
      </w:pPr>
      <w:r>
        <w:rPr>
          <w:rStyle w:val="Refdenotaalpie"/>
        </w:rPr>
        <w:footnoteRef/>
      </w:r>
      <w:r>
        <w:t xml:space="preserve"> </w:t>
      </w:r>
      <w:r>
        <w:rPr>
          <w:lang w:val="es-ES"/>
        </w:rPr>
        <w:t xml:space="preserve">Cfr. </w:t>
      </w:r>
      <w:r w:rsidRPr="00BB2151">
        <w:rPr>
          <w:smallCaps/>
          <w:lang w:val="es-ES"/>
        </w:rPr>
        <w:t xml:space="preserve">Joseph A. </w:t>
      </w:r>
      <w:proofErr w:type="spellStart"/>
      <w:r w:rsidRPr="00BB2151">
        <w:rPr>
          <w:smallCaps/>
          <w:lang w:val="es-ES"/>
        </w:rPr>
        <w:t>Fitzmyer</w:t>
      </w:r>
      <w:proofErr w:type="spellEnd"/>
      <w:r>
        <w:rPr>
          <w:lang w:val="es-ES"/>
        </w:rPr>
        <w:t xml:space="preserve">. </w:t>
      </w:r>
      <w:r w:rsidRPr="00BB2151">
        <w:rPr>
          <w:i/>
          <w:lang w:val="es-ES"/>
        </w:rPr>
        <w:t xml:space="preserve">Los hechos de los apóstoles. Vol. </w:t>
      </w:r>
      <w:r>
        <w:rPr>
          <w:i/>
          <w:lang w:val="es-ES"/>
        </w:rPr>
        <w:t>I.</w:t>
      </w:r>
      <w:r w:rsidRPr="00BB2151">
        <w:rPr>
          <w:i/>
          <w:lang w:val="es-ES"/>
        </w:rPr>
        <w:t xml:space="preserve"> </w:t>
      </w:r>
      <w:r>
        <w:rPr>
          <w:lang w:val="es-ES"/>
        </w:rPr>
        <w:t>Ed. Sígueme. Salamanca 2003</w:t>
      </w:r>
    </w:p>
  </w:footnote>
  <w:footnote w:id="2">
    <w:p w14:paraId="7D54548F" w14:textId="43530C43" w:rsidR="00A5002B" w:rsidRPr="00A5002B" w:rsidRDefault="00A5002B">
      <w:pPr>
        <w:pStyle w:val="Textonotapie"/>
        <w:rPr>
          <w:lang w:val="es-ES"/>
        </w:rPr>
      </w:pPr>
      <w:r>
        <w:rPr>
          <w:rStyle w:val="Refdenotaalpie"/>
        </w:rPr>
        <w:footnoteRef/>
      </w:r>
      <w:r>
        <w:t xml:space="preserve"> </w:t>
      </w:r>
      <w:r>
        <w:rPr>
          <w:lang w:val="es-ES"/>
        </w:rPr>
        <w:t>…</w:t>
      </w:r>
      <w:r w:rsidRPr="00A5002B">
        <w:rPr>
          <w:lang w:val="es-ES"/>
        </w:rPr>
        <w:t xml:space="preserve"> </w:t>
      </w:r>
      <w:r>
        <w:rPr>
          <w:lang w:val="es-ES"/>
        </w:rPr>
        <w:t>en el capítulo 12</w:t>
      </w:r>
    </w:p>
  </w:footnote>
  <w:footnote w:id="3">
    <w:p w14:paraId="602CC62E" w14:textId="38C50195" w:rsidR="00A5002B" w:rsidRPr="00A5002B" w:rsidRDefault="00A5002B">
      <w:pPr>
        <w:pStyle w:val="Textonotapie"/>
        <w:rPr>
          <w:lang w:val="es-ES"/>
        </w:rPr>
      </w:pPr>
      <w:r>
        <w:rPr>
          <w:rStyle w:val="Refdenotaalpie"/>
        </w:rPr>
        <w:footnoteRef/>
      </w:r>
      <w:r>
        <w:t xml:space="preserve"> Hech </w:t>
      </w:r>
      <w:r w:rsidRPr="006008D7">
        <w:rPr>
          <w:lang w:val="es-ES"/>
        </w:rPr>
        <w:t>15, 2.4.6.22.23</w:t>
      </w:r>
    </w:p>
  </w:footnote>
  <w:footnote w:id="4">
    <w:p w14:paraId="560F462F" w14:textId="7B6B51B6" w:rsidR="00A5002B" w:rsidRPr="00A5002B" w:rsidRDefault="00A5002B">
      <w:pPr>
        <w:pStyle w:val="Textonotapie"/>
        <w:rPr>
          <w:lang w:val="es-ES"/>
        </w:rPr>
      </w:pPr>
      <w:r>
        <w:rPr>
          <w:rStyle w:val="Refdenotaalpie"/>
        </w:rPr>
        <w:footnoteRef/>
      </w:r>
      <w:r>
        <w:t xml:space="preserve"> Cfr. </w:t>
      </w:r>
      <w:r w:rsidRPr="006008D7">
        <w:rPr>
          <w:lang w:val="es-ES"/>
        </w:rPr>
        <w:t xml:space="preserve">Concilio de Florencia, </w:t>
      </w:r>
      <w:proofErr w:type="spellStart"/>
      <w:r w:rsidRPr="00A5002B">
        <w:rPr>
          <w:i/>
          <w:lang w:val="es-ES"/>
        </w:rPr>
        <w:t>Decretum</w:t>
      </w:r>
      <w:proofErr w:type="spellEnd"/>
      <w:r w:rsidRPr="00A5002B">
        <w:rPr>
          <w:i/>
          <w:lang w:val="es-ES"/>
        </w:rPr>
        <w:t xml:space="preserve"> pro </w:t>
      </w:r>
      <w:proofErr w:type="spellStart"/>
      <w:r w:rsidRPr="00A5002B">
        <w:rPr>
          <w:i/>
          <w:lang w:val="es-ES"/>
        </w:rPr>
        <w:t>Armenis</w:t>
      </w:r>
      <w:proofErr w:type="spellEnd"/>
      <w:r w:rsidRPr="006008D7">
        <w:rPr>
          <w:lang w:val="es-ES"/>
        </w:rPr>
        <w:t xml:space="preserve">, DH 1318; Concilio de Trento, </w:t>
      </w:r>
      <w:r w:rsidRPr="00A5002B">
        <w:rPr>
          <w:i/>
          <w:lang w:val="es-ES"/>
        </w:rPr>
        <w:t xml:space="preserve">Doctrina de sacramento </w:t>
      </w:r>
      <w:proofErr w:type="spellStart"/>
      <w:r w:rsidRPr="00A5002B">
        <w:rPr>
          <w:i/>
          <w:lang w:val="es-ES"/>
        </w:rPr>
        <w:t>ordinis</w:t>
      </w:r>
      <w:proofErr w:type="spellEnd"/>
      <w:r w:rsidRPr="006008D7">
        <w:rPr>
          <w:lang w:val="es-ES"/>
        </w:rPr>
        <w:t xml:space="preserve"> 4, DH 1768; Concilio Vaticano I, </w:t>
      </w:r>
      <w:proofErr w:type="spellStart"/>
      <w:r w:rsidRPr="00A5002B">
        <w:rPr>
          <w:i/>
          <w:lang w:val="es-ES"/>
        </w:rPr>
        <w:t>Constitutio</w:t>
      </w:r>
      <w:proofErr w:type="spellEnd"/>
      <w:r w:rsidRPr="00A5002B">
        <w:rPr>
          <w:i/>
          <w:lang w:val="es-ES"/>
        </w:rPr>
        <w:t xml:space="preserve"> de </w:t>
      </w:r>
      <w:proofErr w:type="spellStart"/>
      <w:r w:rsidRPr="00A5002B">
        <w:rPr>
          <w:i/>
          <w:lang w:val="es-ES"/>
        </w:rPr>
        <w:t>Ecclesia</w:t>
      </w:r>
      <w:proofErr w:type="spellEnd"/>
      <w:r w:rsidRPr="006008D7">
        <w:rPr>
          <w:lang w:val="es-ES"/>
        </w:rPr>
        <w:t xml:space="preserve"> 3, DH 3061; Concilio Vaticano </w:t>
      </w:r>
      <w:r>
        <w:rPr>
          <w:lang w:val="es-ES"/>
        </w:rPr>
        <w:t>II</w:t>
      </w:r>
      <w:r w:rsidRPr="006008D7">
        <w:rPr>
          <w:lang w:val="es-ES"/>
        </w:rPr>
        <w:t xml:space="preserve">, </w:t>
      </w:r>
      <w:r w:rsidRPr="00A5002B">
        <w:rPr>
          <w:i/>
          <w:lang w:val="es-ES"/>
        </w:rPr>
        <w:t>Lumen Gentium</w:t>
      </w:r>
      <w:r w:rsidRPr="006008D7">
        <w:rPr>
          <w:lang w:val="es-ES"/>
        </w:rPr>
        <w:t xml:space="preserve"> 24, DH 4148</w:t>
      </w:r>
    </w:p>
  </w:footnote>
  <w:footnote w:id="5">
    <w:p w14:paraId="08B11265" w14:textId="0E49E7D1" w:rsidR="003D343F" w:rsidRPr="003D343F" w:rsidRDefault="003D343F">
      <w:pPr>
        <w:pStyle w:val="Textonotapie"/>
        <w:rPr>
          <w:lang w:val="es-ES"/>
        </w:rPr>
      </w:pPr>
      <w:r>
        <w:rPr>
          <w:rStyle w:val="Refdenotaalpie"/>
        </w:rPr>
        <w:footnoteRef/>
      </w:r>
      <w:r>
        <w:t xml:space="preserve"> </w:t>
      </w:r>
      <w:r>
        <w:rPr>
          <w:lang w:val="es-MX"/>
        </w:rPr>
        <w:t>Hech 1,21s</w:t>
      </w:r>
    </w:p>
  </w:footnote>
  <w:footnote w:id="6">
    <w:p w14:paraId="488FAE49" w14:textId="5E4CE8B3" w:rsidR="00175D39" w:rsidRPr="00175D39" w:rsidRDefault="00175D39">
      <w:pPr>
        <w:pStyle w:val="Textonotapie"/>
        <w:rPr>
          <w:lang w:val="es-ES"/>
        </w:rPr>
      </w:pPr>
      <w:r>
        <w:rPr>
          <w:rStyle w:val="Refdenotaalpie"/>
        </w:rPr>
        <w:footnoteRef/>
      </w:r>
      <w:r>
        <w:t xml:space="preserve"> </w:t>
      </w:r>
      <w:r>
        <w:rPr>
          <w:lang w:val="es-ES"/>
        </w:rPr>
        <w:t xml:space="preserve">Cfr. </w:t>
      </w:r>
      <w:proofErr w:type="spellStart"/>
      <w:r w:rsidRPr="00175D39">
        <w:rPr>
          <w:smallCaps/>
          <w:lang w:val="es-ES"/>
        </w:rPr>
        <w:t>Amedeo</w:t>
      </w:r>
      <w:proofErr w:type="spellEnd"/>
      <w:r w:rsidRPr="00175D39">
        <w:rPr>
          <w:smallCaps/>
          <w:lang w:val="es-ES"/>
        </w:rPr>
        <w:t xml:space="preserve"> </w:t>
      </w:r>
      <w:proofErr w:type="spellStart"/>
      <w:r w:rsidRPr="00175D39">
        <w:rPr>
          <w:smallCaps/>
          <w:lang w:val="es-ES"/>
        </w:rPr>
        <w:t>Cencini</w:t>
      </w:r>
      <w:proofErr w:type="spellEnd"/>
      <w:r>
        <w:rPr>
          <w:lang w:val="es-ES"/>
        </w:rPr>
        <w:t xml:space="preserve">. </w:t>
      </w:r>
      <w:r w:rsidRPr="00175D39">
        <w:rPr>
          <w:i/>
          <w:iCs/>
          <w:lang w:val="es-ES"/>
        </w:rPr>
        <w:t>Teología de la vocación</w:t>
      </w:r>
      <w:r>
        <w:rPr>
          <w:lang w:val="es-ES"/>
        </w:rPr>
        <w:t>. II Congreso Continental Latinoamericano de vocaciones. (Ponencia). Cartago. Costa Rica, Febrero 2011</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52FB"/>
    <w:multiLevelType w:val="hybridMultilevel"/>
    <w:tmpl w:val="88DE3B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7"/>
    <w:rsid w:val="00007CE7"/>
    <w:rsid w:val="0001343E"/>
    <w:rsid w:val="000148C7"/>
    <w:rsid w:val="000175C5"/>
    <w:rsid w:val="00022639"/>
    <w:rsid w:val="00026414"/>
    <w:rsid w:val="00034810"/>
    <w:rsid w:val="00044B71"/>
    <w:rsid w:val="00067C16"/>
    <w:rsid w:val="000948F7"/>
    <w:rsid w:val="000B75D0"/>
    <w:rsid w:val="000C180E"/>
    <w:rsid w:val="000C5750"/>
    <w:rsid w:val="000D71BD"/>
    <w:rsid w:val="000E2901"/>
    <w:rsid w:val="000E6556"/>
    <w:rsid w:val="000F3864"/>
    <w:rsid w:val="000F595B"/>
    <w:rsid w:val="00100CAB"/>
    <w:rsid w:val="00104A0D"/>
    <w:rsid w:val="00106623"/>
    <w:rsid w:val="00110376"/>
    <w:rsid w:val="00112F3D"/>
    <w:rsid w:val="00116C67"/>
    <w:rsid w:val="001175BB"/>
    <w:rsid w:val="00120FF5"/>
    <w:rsid w:val="0012105B"/>
    <w:rsid w:val="001229BD"/>
    <w:rsid w:val="00132964"/>
    <w:rsid w:val="001361CC"/>
    <w:rsid w:val="00136A67"/>
    <w:rsid w:val="0014107A"/>
    <w:rsid w:val="00144158"/>
    <w:rsid w:val="00145829"/>
    <w:rsid w:val="0015714D"/>
    <w:rsid w:val="001622F8"/>
    <w:rsid w:val="00163F28"/>
    <w:rsid w:val="00170CCA"/>
    <w:rsid w:val="00175D39"/>
    <w:rsid w:val="0017616E"/>
    <w:rsid w:val="00177F6D"/>
    <w:rsid w:val="00185398"/>
    <w:rsid w:val="00197FF2"/>
    <w:rsid w:val="001B219C"/>
    <w:rsid w:val="001B3F0B"/>
    <w:rsid w:val="001B44A9"/>
    <w:rsid w:val="001C23AC"/>
    <w:rsid w:val="001C44FC"/>
    <w:rsid w:val="001D7B3B"/>
    <w:rsid w:val="001E7B53"/>
    <w:rsid w:val="00200969"/>
    <w:rsid w:val="00204C1D"/>
    <w:rsid w:val="00215F13"/>
    <w:rsid w:val="00227EB8"/>
    <w:rsid w:val="002336AD"/>
    <w:rsid w:val="00237A3F"/>
    <w:rsid w:val="00240B87"/>
    <w:rsid w:val="002559A3"/>
    <w:rsid w:val="00276F4D"/>
    <w:rsid w:val="002847DA"/>
    <w:rsid w:val="00286E1B"/>
    <w:rsid w:val="002A3B59"/>
    <w:rsid w:val="002B38A8"/>
    <w:rsid w:val="002B7B8D"/>
    <w:rsid w:val="002E0E2D"/>
    <w:rsid w:val="002F24B3"/>
    <w:rsid w:val="00304AA6"/>
    <w:rsid w:val="003129B6"/>
    <w:rsid w:val="0034189B"/>
    <w:rsid w:val="00351C41"/>
    <w:rsid w:val="0035486E"/>
    <w:rsid w:val="00356EF2"/>
    <w:rsid w:val="0036033A"/>
    <w:rsid w:val="0037008A"/>
    <w:rsid w:val="0038377D"/>
    <w:rsid w:val="00386FDA"/>
    <w:rsid w:val="00393E5D"/>
    <w:rsid w:val="003A0FD1"/>
    <w:rsid w:val="003A1595"/>
    <w:rsid w:val="003A2F43"/>
    <w:rsid w:val="003B75BC"/>
    <w:rsid w:val="003B7954"/>
    <w:rsid w:val="003C04C3"/>
    <w:rsid w:val="003C0F50"/>
    <w:rsid w:val="003C4489"/>
    <w:rsid w:val="003D343F"/>
    <w:rsid w:val="003E3049"/>
    <w:rsid w:val="003F019A"/>
    <w:rsid w:val="003F15F6"/>
    <w:rsid w:val="0040212C"/>
    <w:rsid w:val="00406353"/>
    <w:rsid w:val="0041000C"/>
    <w:rsid w:val="00414C8D"/>
    <w:rsid w:val="004176FD"/>
    <w:rsid w:val="004347E7"/>
    <w:rsid w:val="00440AC3"/>
    <w:rsid w:val="00440ED4"/>
    <w:rsid w:val="00440F19"/>
    <w:rsid w:val="004417E0"/>
    <w:rsid w:val="004443C5"/>
    <w:rsid w:val="00456CD8"/>
    <w:rsid w:val="00461D5C"/>
    <w:rsid w:val="00467E22"/>
    <w:rsid w:val="0047299A"/>
    <w:rsid w:val="00480216"/>
    <w:rsid w:val="00494124"/>
    <w:rsid w:val="00495B83"/>
    <w:rsid w:val="00495EC3"/>
    <w:rsid w:val="004B3E20"/>
    <w:rsid w:val="004B54AB"/>
    <w:rsid w:val="004D5AA0"/>
    <w:rsid w:val="004D672C"/>
    <w:rsid w:val="004E06B1"/>
    <w:rsid w:val="004E5DB2"/>
    <w:rsid w:val="00501D74"/>
    <w:rsid w:val="00501F29"/>
    <w:rsid w:val="00502A21"/>
    <w:rsid w:val="00503E0A"/>
    <w:rsid w:val="005156DB"/>
    <w:rsid w:val="00517FBB"/>
    <w:rsid w:val="00520724"/>
    <w:rsid w:val="0052261A"/>
    <w:rsid w:val="00525312"/>
    <w:rsid w:val="005276F9"/>
    <w:rsid w:val="00552738"/>
    <w:rsid w:val="00563EB4"/>
    <w:rsid w:val="0056447C"/>
    <w:rsid w:val="005759DC"/>
    <w:rsid w:val="0058253D"/>
    <w:rsid w:val="005A2840"/>
    <w:rsid w:val="005A3D7C"/>
    <w:rsid w:val="005B2486"/>
    <w:rsid w:val="005B3098"/>
    <w:rsid w:val="005B76B7"/>
    <w:rsid w:val="005C3D5B"/>
    <w:rsid w:val="005C4DB1"/>
    <w:rsid w:val="005C74C9"/>
    <w:rsid w:val="005D30D2"/>
    <w:rsid w:val="005D4645"/>
    <w:rsid w:val="005F302F"/>
    <w:rsid w:val="005F5913"/>
    <w:rsid w:val="006008D7"/>
    <w:rsid w:val="00603FAC"/>
    <w:rsid w:val="00613110"/>
    <w:rsid w:val="006153E1"/>
    <w:rsid w:val="00621B16"/>
    <w:rsid w:val="00621FDC"/>
    <w:rsid w:val="006428AA"/>
    <w:rsid w:val="00642F79"/>
    <w:rsid w:val="006450D0"/>
    <w:rsid w:val="006535BC"/>
    <w:rsid w:val="00666DEE"/>
    <w:rsid w:val="006711BC"/>
    <w:rsid w:val="00680EC6"/>
    <w:rsid w:val="00681029"/>
    <w:rsid w:val="0068213D"/>
    <w:rsid w:val="00682C56"/>
    <w:rsid w:val="006936BD"/>
    <w:rsid w:val="00694B23"/>
    <w:rsid w:val="006A3F17"/>
    <w:rsid w:val="006A646C"/>
    <w:rsid w:val="006A7246"/>
    <w:rsid w:val="006B4337"/>
    <w:rsid w:val="006B79A9"/>
    <w:rsid w:val="006C1853"/>
    <w:rsid w:val="006D0092"/>
    <w:rsid w:val="006F6FB7"/>
    <w:rsid w:val="00712E98"/>
    <w:rsid w:val="00715DBC"/>
    <w:rsid w:val="0072387F"/>
    <w:rsid w:val="007265BF"/>
    <w:rsid w:val="0073343F"/>
    <w:rsid w:val="00736176"/>
    <w:rsid w:val="00740398"/>
    <w:rsid w:val="007412EE"/>
    <w:rsid w:val="007556BB"/>
    <w:rsid w:val="007653D8"/>
    <w:rsid w:val="007670AB"/>
    <w:rsid w:val="007767A2"/>
    <w:rsid w:val="00780E15"/>
    <w:rsid w:val="0078310C"/>
    <w:rsid w:val="00792160"/>
    <w:rsid w:val="007A1A00"/>
    <w:rsid w:val="007B5032"/>
    <w:rsid w:val="007B7F5C"/>
    <w:rsid w:val="007C253B"/>
    <w:rsid w:val="007C4FBA"/>
    <w:rsid w:val="007D5A43"/>
    <w:rsid w:val="007D6EE3"/>
    <w:rsid w:val="007E0115"/>
    <w:rsid w:val="007F20FA"/>
    <w:rsid w:val="007F4753"/>
    <w:rsid w:val="00804E30"/>
    <w:rsid w:val="008158F2"/>
    <w:rsid w:val="008177AF"/>
    <w:rsid w:val="00823A23"/>
    <w:rsid w:val="00824436"/>
    <w:rsid w:val="008262EA"/>
    <w:rsid w:val="0083251B"/>
    <w:rsid w:val="00842DB2"/>
    <w:rsid w:val="008440F3"/>
    <w:rsid w:val="00867459"/>
    <w:rsid w:val="008727E7"/>
    <w:rsid w:val="008752BC"/>
    <w:rsid w:val="0088352F"/>
    <w:rsid w:val="00890BCE"/>
    <w:rsid w:val="0089170A"/>
    <w:rsid w:val="0089362F"/>
    <w:rsid w:val="008A1CB1"/>
    <w:rsid w:val="008B7D8A"/>
    <w:rsid w:val="008C297F"/>
    <w:rsid w:val="008C6496"/>
    <w:rsid w:val="008C78A0"/>
    <w:rsid w:val="008D3D4C"/>
    <w:rsid w:val="008E5982"/>
    <w:rsid w:val="008E7754"/>
    <w:rsid w:val="008F10C8"/>
    <w:rsid w:val="00900CA7"/>
    <w:rsid w:val="00922D27"/>
    <w:rsid w:val="009244FE"/>
    <w:rsid w:val="00924BCD"/>
    <w:rsid w:val="00930A75"/>
    <w:rsid w:val="00937078"/>
    <w:rsid w:val="00942BD9"/>
    <w:rsid w:val="0094785E"/>
    <w:rsid w:val="00954481"/>
    <w:rsid w:val="009636FB"/>
    <w:rsid w:val="00975A9D"/>
    <w:rsid w:val="009806FA"/>
    <w:rsid w:val="009900F5"/>
    <w:rsid w:val="00993095"/>
    <w:rsid w:val="009932D6"/>
    <w:rsid w:val="009A5403"/>
    <w:rsid w:val="009B5BE5"/>
    <w:rsid w:val="009B7176"/>
    <w:rsid w:val="009D3537"/>
    <w:rsid w:val="009F4A05"/>
    <w:rsid w:val="00A01EF7"/>
    <w:rsid w:val="00A06B95"/>
    <w:rsid w:val="00A10F1F"/>
    <w:rsid w:val="00A22567"/>
    <w:rsid w:val="00A40C3D"/>
    <w:rsid w:val="00A5002B"/>
    <w:rsid w:val="00A73FEA"/>
    <w:rsid w:val="00A8672F"/>
    <w:rsid w:val="00A93232"/>
    <w:rsid w:val="00A94670"/>
    <w:rsid w:val="00A94B47"/>
    <w:rsid w:val="00AA55BB"/>
    <w:rsid w:val="00AB3536"/>
    <w:rsid w:val="00B04941"/>
    <w:rsid w:val="00B0630C"/>
    <w:rsid w:val="00B06DC8"/>
    <w:rsid w:val="00B209BE"/>
    <w:rsid w:val="00B2179E"/>
    <w:rsid w:val="00B23A8F"/>
    <w:rsid w:val="00B46125"/>
    <w:rsid w:val="00B46588"/>
    <w:rsid w:val="00B56D00"/>
    <w:rsid w:val="00B63961"/>
    <w:rsid w:val="00B707C6"/>
    <w:rsid w:val="00B72C85"/>
    <w:rsid w:val="00B75787"/>
    <w:rsid w:val="00B8302F"/>
    <w:rsid w:val="00B83C25"/>
    <w:rsid w:val="00B85815"/>
    <w:rsid w:val="00BA7AC3"/>
    <w:rsid w:val="00BC7727"/>
    <w:rsid w:val="00BD4EB2"/>
    <w:rsid w:val="00C04EAF"/>
    <w:rsid w:val="00C06D99"/>
    <w:rsid w:val="00C32407"/>
    <w:rsid w:val="00C3283A"/>
    <w:rsid w:val="00C3486E"/>
    <w:rsid w:val="00C43387"/>
    <w:rsid w:val="00C44B9A"/>
    <w:rsid w:val="00C62E8F"/>
    <w:rsid w:val="00C63C3E"/>
    <w:rsid w:val="00C922FE"/>
    <w:rsid w:val="00CA1EBA"/>
    <w:rsid w:val="00CA2235"/>
    <w:rsid w:val="00CA5FC7"/>
    <w:rsid w:val="00CA609E"/>
    <w:rsid w:val="00CC0671"/>
    <w:rsid w:val="00CC08C3"/>
    <w:rsid w:val="00CC2017"/>
    <w:rsid w:val="00CC497F"/>
    <w:rsid w:val="00CC7CD8"/>
    <w:rsid w:val="00CD0292"/>
    <w:rsid w:val="00CF5EC1"/>
    <w:rsid w:val="00CF62EC"/>
    <w:rsid w:val="00D02DA8"/>
    <w:rsid w:val="00D218C4"/>
    <w:rsid w:val="00D314C8"/>
    <w:rsid w:val="00D340EE"/>
    <w:rsid w:val="00D3526D"/>
    <w:rsid w:val="00D41C66"/>
    <w:rsid w:val="00D468EB"/>
    <w:rsid w:val="00D50305"/>
    <w:rsid w:val="00D532CB"/>
    <w:rsid w:val="00D560E0"/>
    <w:rsid w:val="00D613BE"/>
    <w:rsid w:val="00D65978"/>
    <w:rsid w:val="00D65B7C"/>
    <w:rsid w:val="00D774DF"/>
    <w:rsid w:val="00D826CD"/>
    <w:rsid w:val="00D92828"/>
    <w:rsid w:val="00D96AE9"/>
    <w:rsid w:val="00DA1560"/>
    <w:rsid w:val="00DA1E8B"/>
    <w:rsid w:val="00DA30C4"/>
    <w:rsid w:val="00DA4DE7"/>
    <w:rsid w:val="00DA528A"/>
    <w:rsid w:val="00DA588C"/>
    <w:rsid w:val="00DB5800"/>
    <w:rsid w:val="00DB5963"/>
    <w:rsid w:val="00DC264B"/>
    <w:rsid w:val="00DC3EB7"/>
    <w:rsid w:val="00DC5EA5"/>
    <w:rsid w:val="00DD2F25"/>
    <w:rsid w:val="00DD5A02"/>
    <w:rsid w:val="00DE13E7"/>
    <w:rsid w:val="00E018A9"/>
    <w:rsid w:val="00E04EA7"/>
    <w:rsid w:val="00E14267"/>
    <w:rsid w:val="00E161FD"/>
    <w:rsid w:val="00E35171"/>
    <w:rsid w:val="00E35D36"/>
    <w:rsid w:val="00E46286"/>
    <w:rsid w:val="00E6165A"/>
    <w:rsid w:val="00E6352F"/>
    <w:rsid w:val="00E71CCD"/>
    <w:rsid w:val="00E74446"/>
    <w:rsid w:val="00E77D25"/>
    <w:rsid w:val="00E84F44"/>
    <w:rsid w:val="00E90F12"/>
    <w:rsid w:val="00EA01E8"/>
    <w:rsid w:val="00EA1DB6"/>
    <w:rsid w:val="00EA3735"/>
    <w:rsid w:val="00EA6471"/>
    <w:rsid w:val="00EC3489"/>
    <w:rsid w:val="00EC4170"/>
    <w:rsid w:val="00ED1742"/>
    <w:rsid w:val="00EF53CD"/>
    <w:rsid w:val="00F0228B"/>
    <w:rsid w:val="00F10E50"/>
    <w:rsid w:val="00F22A59"/>
    <w:rsid w:val="00F267DE"/>
    <w:rsid w:val="00F303D3"/>
    <w:rsid w:val="00F3290E"/>
    <w:rsid w:val="00F32CCE"/>
    <w:rsid w:val="00F33D78"/>
    <w:rsid w:val="00F35FB5"/>
    <w:rsid w:val="00F37BA0"/>
    <w:rsid w:val="00F45EBD"/>
    <w:rsid w:val="00F461E1"/>
    <w:rsid w:val="00F50CE5"/>
    <w:rsid w:val="00F64C31"/>
    <w:rsid w:val="00F67384"/>
    <w:rsid w:val="00F957A9"/>
    <w:rsid w:val="00F95955"/>
    <w:rsid w:val="00FA631C"/>
    <w:rsid w:val="00FB51F9"/>
    <w:rsid w:val="00FB6529"/>
    <w:rsid w:val="00FC29AA"/>
    <w:rsid w:val="00FC337C"/>
    <w:rsid w:val="00FC3B10"/>
    <w:rsid w:val="00FC662A"/>
    <w:rsid w:val="00FD0C74"/>
    <w:rsid w:val="00FD669D"/>
    <w:rsid w:val="00FD7B1F"/>
    <w:rsid w:val="00FE4E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ABC3-710D-48AF-8C2C-CC139F1C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799</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3</cp:revision>
  <cp:lastPrinted>2018-05-13T21:59:00Z</cp:lastPrinted>
  <dcterms:created xsi:type="dcterms:W3CDTF">2021-05-14T02:23:00Z</dcterms:created>
  <dcterms:modified xsi:type="dcterms:W3CDTF">2021-05-14T02:37:00Z</dcterms:modified>
</cp:coreProperties>
</file>