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2" w:rsidRPr="003C3962" w:rsidRDefault="00081481" w:rsidP="003E567C">
      <w:pPr>
        <w:pStyle w:val="Sinespaciado"/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6E833B00" wp14:editId="3B7B646A">
            <wp:simplePos x="0" y="0"/>
            <wp:positionH relativeFrom="column">
              <wp:posOffset>37811</wp:posOffset>
            </wp:positionH>
            <wp:positionV relativeFrom="paragraph">
              <wp:posOffset>44046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DC">
        <w:rPr>
          <w:b/>
          <w:sz w:val="24"/>
          <w:szCs w:val="24"/>
        </w:rPr>
        <w:t>Sábado</w:t>
      </w:r>
      <w:r>
        <w:rPr>
          <w:b/>
          <w:sz w:val="24"/>
          <w:szCs w:val="24"/>
        </w:rPr>
        <w:t xml:space="preserve"> V</w:t>
      </w:r>
      <w:r w:rsidR="00061D4D">
        <w:rPr>
          <w:b/>
          <w:sz w:val="24"/>
          <w:szCs w:val="24"/>
        </w:rPr>
        <w:t xml:space="preserve"> del TO</w:t>
      </w:r>
      <w:r w:rsidR="003373D8">
        <w:rPr>
          <w:b/>
          <w:sz w:val="24"/>
          <w:szCs w:val="24"/>
        </w:rPr>
        <w:br/>
        <w:t xml:space="preserve">Ciclo </w:t>
      </w:r>
      <w:r w:rsidR="003E567C">
        <w:rPr>
          <w:b/>
          <w:sz w:val="24"/>
          <w:szCs w:val="24"/>
        </w:rPr>
        <w:t>C</w:t>
      </w:r>
      <w:r w:rsidR="00061D4D">
        <w:rPr>
          <w:b/>
          <w:sz w:val="24"/>
          <w:szCs w:val="24"/>
        </w:rPr>
        <w:br/>
      </w:r>
    </w:p>
    <w:p w:rsidR="003C3962" w:rsidRPr="003C3962" w:rsidRDefault="00985083" w:rsidP="003E567C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3E567C">
        <w:rPr>
          <w:sz w:val="24"/>
          <w:szCs w:val="24"/>
        </w:rPr>
        <w:t>2</w:t>
      </w:r>
      <w:r w:rsidR="003C3962" w:rsidRPr="003C3962">
        <w:rPr>
          <w:sz w:val="24"/>
          <w:szCs w:val="24"/>
        </w:rPr>
        <w:t xml:space="preserve"> de </w:t>
      </w:r>
      <w:r w:rsidR="00F6457E">
        <w:rPr>
          <w:sz w:val="24"/>
          <w:szCs w:val="24"/>
        </w:rPr>
        <w:t xml:space="preserve">febrero </w:t>
      </w:r>
      <w:r w:rsidR="003C3962" w:rsidRPr="003C3962">
        <w:rPr>
          <w:sz w:val="24"/>
          <w:szCs w:val="24"/>
        </w:rPr>
        <w:t>de 20</w:t>
      </w:r>
      <w:r w:rsidR="00F6457E">
        <w:rPr>
          <w:sz w:val="24"/>
          <w:szCs w:val="24"/>
        </w:rPr>
        <w:t>2</w:t>
      </w:r>
      <w:r w:rsidR="003E567C">
        <w:rPr>
          <w:sz w:val="24"/>
          <w:szCs w:val="24"/>
        </w:rPr>
        <w:t>2</w:t>
      </w:r>
    </w:p>
    <w:p w:rsidR="003C3962" w:rsidRPr="003C3962" w:rsidRDefault="003E567C" w:rsidP="00F655DC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>1Re 12, 26-32; 13, 33-34</w:t>
      </w:r>
    </w:p>
    <w:p w:rsidR="003C3962" w:rsidRDefault="00081481" w:rsidP="003E567C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>Sal</w:t>
      </w:r>
      <w:r w:rsidR="00985083">
        <w:rPr>
          <w:sz w:val="20"/>
          <w:szCs w:val="20"/>
        </w:rPr>
        <w:t xml:space="preserve"> </w:t>
      </w:r>
      <w:r w:rsidR="003E567C">
        <w:rPr>
          <w:sz w:val="20"/>
          <w:szCs w:val="20"/>
        </w:rPr>
        <w:t>105</w:t>
      </w:r>
      <w:r>
        <w:rPr>
          <w:sz w:val="20"/>
          <w:szCs w:val="20"/>
        </w:rPr>
        <w:br/>
        <w:t xml:space="preserve">Mc </w:t>
      </w:r>
      <w:r w:rsidR="00F655DC">
        <w:rPr>
          <w:sz w:val="20"/>
          <w:szCs w:val="20"/>
        </w:rPr>
        <w:t>8, 1-10</w:t>
      </w:r>
    </w:p>
    <w:p w:rsidR="008D4F62" w:rsidRPr="008D4F62" w:rsidRDefault="008D4F62" w:rsidP="003C3962">
      <w:pPr>
        <w:pStyle w:val="Sinespaciad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P. Eduardo Suanzes, msps</w:t>
      </w:r>
    </w:p>
    <w:p w:rsidR="00081481" w:rsidRDefault="00081481" w:rsidP="00BE183C">
      <w:pPr>
        <w:pStyle w:val="Sinespaciado"/>
        <w:ind w:left="0" w:firstLine="0"/>
        <w:rPr>
          <w:sz w:val="24"/>
          <w:szCs w:val="24"/>
        </w:rPr>
      </w:pPr>
    </w:p>
    <w:p w:rsidR="00686F6B" w:rsidRDefault="005A5776" w:rsidP="00A6411E">
      <w:r>
        <w:rPr>
          <w:lang w:val="es-MX"/>
        </w:rPr>
        <w:t>El</w:t>
      </w:r>
      <w:r w:rsidR="00A93D81">
        <w:rPr>
          <w:lang w:val="es-MX"/>
        </w:rPr>
        <w:t xml:space="preserve"> Evangelio </w:t>
      </w:r>
      <w:r>
        <w:rPr>
          <w:lang w:val="es-MX"/>
        </w:rPr>
        <w:t xml:space="preserve">nos muestra el episodio en Marcos de la segunda multiplicación de los panes. </w:t>
      </w:r>
      <w:r w:rsidR="00686F6B" w:rsidRPr="0075396A">
        <w:t xml:space="preserve">En paralelo con el reparto de panes y peces descrito </w:t>
      </w:r>
      <w:r w:rsidR="00F92C92">
        <w:t>un par de capítulos antes</w:t>
      </w:r>
      <w:r w:rsidR="00F92C92">
        <w:rPr>
          <w:rStyle w:val="Refdenotaalpie"/>
        </w:rPr>
        <w:footnoteReference w:id="1"/>
      </w:r>
      <w:r w:rsidR="00686F6B" w:rsidRPr="0075396A">
        <w:t xml:space="preserve"> a una multitud judía</w:t>
      </w:r>
      <w:r w:rsidR="00A6411E">
        <w:t xml:space="preserve"> (5,000)</w:t>
      </w:r>
      <w:r w:rsidR="00686F6B" w:rsidRPr="0075396A">
        <w:t>, M</w:t>
      </w:r>
      <w:r w:rsidR="00686F6B">
        <w:t>arcos</w:t>
      </w:r>
      <w:r w:rsidR="00686F6B" w:rsidRPr="0075396A">
        <w:t xml:space="preserve"> describe un segundo reparto a una multitud que no pertenece a Israel</w:t>
      </w:r>
      <w:r w:rsidR="00A6411E">
        <w:t xml:space="preserve"> </w:t>
      </w:r>
      <w:proofErr w:type="gramStart"/>
      <w:r w:rsidR="00A6411E">
        <w:t>( ahora</w:t>
      </w:r>
      <w:proofErr w:type="gramEnd"/>
      <w:r w:rsidR="00A6411E">
        <w:t>, 4,000</w:t>
      </w:r>
      <w:r w:rsidR="00096EAD">
        <w:rPr>
          <w:rStyle w:val="Refdenotaalpie"/>
        </w:rPr>
        <w:footnoteReference w:id="2"/>
      </w:r>
      <w:r w:rsidR="00A6411E">
        <w:t>)</w:t>
      </w:r>
      <w:r w:rsidR="00686F6B">
        <w:t>, aunque con diferencias, pero la finalidad es la misma</w:t>
      </w:r>
      <w:r w:rsidR="00686F6B" w:rsidRPr="0075396A">
        <w:t>. Conforme al programa universalista de Jesús, M</w:t>
      </w:r>
      <w:r w:rsidR="00686F6B">
        <w:t>arcos</w:t>
      </w:r>
      <w:r w:rsidR="00686F6B" w:rsidRPr="0075396A">
        <w:t xml:space="preserve"> expone en este episodio, lo mismo que en el primero, el programa mesiánico, ahora en relación con los pueblos no judíos.</w:t>
      </w:r>
    </w:p>
    <w:p w:rsidR="00CD4186" w:rsidRDefault="005A5776" w:rsidP="00AC5AB9">
      <w:pPr>
        <w:rPr>
          <w:lang w:val="es-MX"/>
        </w:rPr>
      </w:pPr>
      <w:r>
        <w:rPr>
          <w:lang w:val="es-MX"/>
        </w:rPr>
        <w:t>A Jesús le sigue una multitud e</w:t>
      </w:r>
      <w:r w:rsidR="00AC5AB9">
        <w:rPr>
          <w:lang w:val="es-MX"/>
        </w:rPr>
        <w:t>nor</w:t>
      </w:r>
      <w:r>
        <w:rPr>
          <w:lang w:val="es-MX"/>
        </w:rPr>
        <w:t xml:space="preserve">me y el problema que centra la atención de Jesús es que esta gran multitud </w:t>
      </w:r>
      <w:r w:rsidR="00561868">
        <w:rPr>
          <w:lang w:val="es-MX"/>
        </w:rPr>
        <w:t>«</w:t>
      </w:r>
      <w:r w:rsidRPr="00561868">
        <w:rPr>
          <w:i/>
          <w:iCs/>
          <w:lang w:val="es-MX"/>
        </w:rPr>
        <w:t>no tiene qué comer</w:t>
      </w:r>
      <w:r w:rsidR="00561868">
        <w:rPr>
          <w:lang w:val="es-MX"/>
        </w:rPr>
        <w:t>»</w:t>
      </w:r>
      <w:r>
        <w:rPr>
          <w:lang w:val="es-MX"/>
        </w:rPr>
        <w:t>, es decir, no tienes sustento para la vida</w:t>
      </w:r>
      <w:r>
        <w:rPr>
          <w:rStyle w:val="Refdenotaalpie"/>
          <w:lang w:val="es-MX"/>
        </w:rPr>
        <w:footnoteReference w:id="3"/>
      </w:r>
      <w:r>
        <w:rPr>
          <w:lang w:val="es-MX"/>
        </w:rPr>
        <w:t>.</w:t>
      </w:r>
    </w:p>
    <w:p w:rsidR="005A5776" w:rsidRDefault="005A5776" w:rsidP="005A5776">
      <w:pPr>
        <w:rPr>
          <w:lang w:val="es-MX"/>
        </w:rPr>
      </w:pPr>
      <w:r>
        <w:rPr>
          <w:lang w:val="es-MX"/>
        </w:rPr>
        <w:t>Jesús llama a los suyo</w:t>
      </w:r>
      <w:r w:rsidR="00F92C92">
        <w:rPr>
          <w:lang w:val="es-MX"/>
        </w:rPr>
        <w:t>s</w:t>
      </w:r>
      <w:r>
        <w:rPr>
          <w:lang w:val="es-MX"/>
        </w:rPr>
        <w:t xml:space="preserve"> y les confronta con la situación de esa gente que necesita ayuda. Les informa de su estado de ánimo («</w:t>
      </w:r>
      <w:r w:rsidRPr="005A5776">
        <w:rPr>
          <w:i/>
          <w:iCs/>
          <w:lang w:val="es-MX"/>
        </w:rPr>
        <w:t>me da lástima esta gente</w:t>
      </w:r>
      <w:r>
        <w:rPr>
          <w:lang w:val="es-MX"/>
        </w:rPr>
        <w:t>») y del problema que se plantea. Esta conmoción de Jesús, una vez más, denota el amor tierno de Dios ante la miseria y necesidad humanas</w:t>
      </w:r>
      <w:r w:rsidR="007130E8">
        <w:rPr>
          <w:lang w:val="es-MX"/>
        </w:rPr>
        <w:t>.</w:t>
      </w:r>
    </w:p>
    <w:p w:rsidR="007130E8" w:rsidRDefault="007130E8" w:rsidP="007130E8">
      <w:pPr>
        <w:rPr>
          <w:lang w:val="es-MX"/>
        </w:rPr>
      </w:pPr>
      <w:r>
        <w:rPr>
          <w:lang w:val="es-MX"/>
        </w:rPr>
        <w:t>Jesús les indica que esta multitud lleva ya tres días estando a su lado, con él. Esta es una clara alusión al libro del profeta Oseas: «</w:t>
      </w:r>
      <w:r w:rsidRPr="007130E8">
        <w:rPr>
          <w:i/>
          <w:iCs/>
          <w:lang w:val="es-MX"/>
        </w:rPr>
        <w:t>Dentro de dos días nos dará la vida, al tercer día nos hará resurgir y en su presencia viviremos</w:t>
      </w:r>
      <w:r>
        <w:rPr>
          <w:lang w:val="es-MX"/>
        </w:rPr>
        <w:t>»</w:t>
      </w:r>
      <w:r>
        <w:rPr>
          <w:rStyle w:val="Refdenotaalpie"/>
          <w:lang w:val="es-MX"/>
        </w:rPr>
        <w:footnoteReference w:id="4"/>
      </w:r>
      <w:r>
        <w:rPr>
          <w:lang w:val="es-MX"/>
        </w:rPr>
        <w:t>. Marcos está indicando que en este «tercer día» las personas que forman la multitud van a recibir la vida, el Espíritu de Jesús.</w:t>
      </w:r>
    </w:p>
    <w:p w:rsidR="00A6411E" w:rsidRDefault="00F574D3" w:rsidP="00A6411E">
      <w:pPr>
        <w:rPr>
          <w:lang w:val="es-MX"/>
        </w:rPr>
      </w:pPr>
      <w:r>
        <w:rPr>
          <w:lang w:val="es-MX"/>
        </w:rPr>
        <w:t>Los discípulos se desentienden del problema y afirman que la gente está perdida en ese páramo desértico</w:t>
      </w:r>
      <w:r w:rsidR="00A6411E">
        <w:rPr>
          <w:lang w:val="es-MX"/>
        </w:rPr>
        <w:t>; otra vez declaran (ya lo hicieron en la primera multiplicación) como completamente imposible poder prestar cuidados a la multitud, revelando así su falta de comprensión y empatía con el ser humano. Esta actitud es, si cabe, más grave que la primera, pues ya habían asistido a la experiencia de la alimentación de los cinco mil.</w:t>
      </w:r>
      <w:r>
        <w:rPr>
          <w:lang w:val="es-MX"/>
        </w:rPr>
        <w:t xml:space="preserve"> </w:t>
      </w:r>
    </w:p>
    <w:p w:rsidR="00F574D3" w:rsidRDefault="00A6411E" w:rsidP="00A6411E">
      <w:pPr>
        <w:rPr>
          <w:lang w:val="es-MX"/>
        </w:rPr>
      </w:pPr>
      <w:r>
        <w:rPr>
          <w:lang w:val="es-MX"/>
        </w:rPr>
        <w:t xml:space="preserve">Pero Jesús no se inmuta </w:t>
      </w:r>
      <w:r w:rsidR="00F574D3">
        <w:rPr>
          <w:lang w:val="es-MX"/>
        </w:rPr>
        <w:t xml:space="preserve">y ante </w:t>
      </w:r>
      <w:r>
        <w:rPr>
          <w:lang w:val="es-MX"/>
        </w:rPr>
        <w:t>su pregunta</w:t>
      </w:r>
      <w:r w:rsidR="00F574D3">
        <w:rPr>
          <w:lang w:val="es-MX"/>
        </w:rPr>
        <w:t xml:space="preserve"> de qué es lo que tienen, una vez más, dicen</w:t>
      </w:r>
      <w:r w:rsidR="00561868">
        <w:rPr>
          <w:lang w:val="es-MX"/>
        </w:rPr>
        <w:t>,</w:t>
      </w:r>
      <w:r w:rsidR="00F574D3">
        <w:rPr>
          <w:lang w:val="es-MX"/>
        </w:rPr>
        <w:t xml:space="preserve"> sin saberlo</w:t>
      </w:r>
      <w:r w:rsidR="00561868">
        <w:rPr>
          <w:lang w:val="es-MX"/>
        </w:rPr>
        <w:t>,</w:t>
      </w:r>
      <w:r w:rsidR="00F574D3">
        <w:rPr>
          <w:lang w:val="es-MX"/>
        </w:rPr>
        <w:t xml:space="preserve"> que lo tienen todo, pues «siete» en la plenitud, la totalidad</w:t>
      </w:r>
      <w:r w:rsidR="00561868">
        <w:rPr>
          <w:lang w:val="es-MX"/>
        </w:rPr>
        <w:t xml:space="preserve"> (cinco= los libros del Pentateuco, </w:t>
      </w:r>
      <w:r w:rsidR="00561868" w:rsidRPr="00561868">
        <w:rPr>
          <w:b/>
          <w:bCs/>
          <w:lang w:val="es-MX"/>
        </w:rPr>
        <w:t xml:space="preserve">la </w:t>
      </w:r>
      <w:proofErr w:type="spellStart"/>
      <w:r w:rsidR="00561868" w:rsidRPr="00561868">
        <w:rPr>
          <w:b/>
          <w:bCs/>
          <w:lang w:val="es-MX"/>
        </w:rPr>
        <w:t>torá</w:t>
      </w:r>
      <w:proofErr w:type="spellEnd"/>
      <w:r w:rsidR="00561868">
        <w:rPr>
          <w:lang w:val="es-MX"/>
        </w:rPr>
        <w:t xml:space="preserve"> más dos= </w:t>
      </w:r>
      <w:r w:rsidR="00561868" w:rsidRPr="00561868">
        <w:rPr>
          <w:b/>
          <w:bCs/>
          <w:lang w:val="es-MX"/>
        </w:rPr>
        <w:t>los profetas y sapienciales</w:t>
      </w:r>
      <w:r w:rsidR="00561868">
        <w:rPr>
          <w:lang w:val="es-MX"/>
        </w:rPr>
        <w:t>; es decir, tienen la palabra completa)</w:t>
      </w:r>
      <w:r w:rsidR="00F574D3">
        <w:rPr>
          <w:lang w:val="es-MX"/>
        </w:rPr>
        <w:t xml:space="preserve">. </w:t>
      </w:r>
      <w:r w:rsidR="00561868">
        <w:rPr>
          <w:lang w:val="es-MX"/>
        </w:rPr>
        <w:t xml:space="preserve"> Tienen el pan de la Palabra.</w:t>
      </w:r>
    </w:p>
    <w:p w:rsidR="00096EAD" w:rsidRDefault="00096EAD" w:rsidP="00F92C92">
      <w:pPr>
        <w:rPr>
          <w:lang w:val="es-MX"/>
        </w:rPr>
      </w:pPr>
    </w:p>
    <w:p w:rsidR="00096EAD" w:rsidRDefault="00096EAD" w:rsidP="00096EAD">
      <w:pPr>
        <w:rPr>
          <w:lang w:val="es-MX"/>
        </w:rPr>
      </w:pPr>
      <w:r>
        <w:rPr>
          <w:lang w:val="es-MX"/>
        </w:rPr>
        <w:lastRenderedPageBreak/>
        <w:t>Con esta ceguera de los discípulos Marcos está queriendo subrayar algo especialmente importante. Y es que el que sean, otra vez, los discípulos los protagonistas de la falta de  comprensión nos indica que de lo que se trata es de comprender a Jesús como compasivo y preocupado por la situación del ser humano postrado en su necesidad. Esto llevará a Jesús a la cruz y será, precisamente, en esta entrega sin límites de Jesús que se le dará al discípulo la capacidad para comprender.</w:t>
      </w:r>
    </w:p>
    <w:p w:rsidR="00F574D3" w:rsidRDefault="00F574D3" w:rsidP="00F92C92">
      <w:pPr>
        <w:rPr>
          <w:lang w:val="es-MX"/>
        </w:rPr>
      </w:pPr>
      <w:r w:rsidRPr="00F574D3">
        <w:rPr>
          <w:lang w:val="es-MX"/>
        </w:rPr>
        <w:t>Jesús toma los siete panes, todas las provisiones que tienen sus discípulos, no reserva nada para el grupo</w:t>
      </w:r>
      <w:r>
        <w:rPr>
          <w:lang w:val="es-MX"/>
        </w:rPr>
        <w:t>:</w:t>
      </w:r>
      <w:r w:rsidRPr="00F574D3">
        <w:rPr>
          <w:lang w:val="es-MX"/>
        </w:rPr>
        <w:t xml:space="preserve"> compartir todo lo que se tiene es figura del amor sin límite.</w:t>
      </w:r>
      <w:r>
        <w:rPr>
          <w:lang w:val="es-MX"/>
        </w:rPr>
        <w:t xml:space="preserve"> Y al pronunciar </w:t>
      </w:r>
      <w:r w:rsidR="00F92C92">
        <w:rPr>
          <w:lang w:val="es-MX"/>
        </w:rPr>
        <w:t>la</w:t>
      </w:r>
      <w:r>
        <w:rPr>
          <w:lang w:val="es-MX"/>
        </w:rPr>
        <w:t xml:space="preserve"> «</w:t>
      </w:r>
      <w:r w:rsidRPr="00F92C92">
        <w:rPr>
          <w:i/>
          <w:iCs/>
          <w:lang w:val="es-MX"/>
        </w:rPr>
        <w:t>acción de gracias</w:t>
      </w:r>
      <w:r>
        <w:rPr>
          <w:lang w:val="es-MX"/>
        </w:rPr>
        <w:t xml:space="preserve">» está indicando que el alimento es un </w:t>
      </w:r>
      <w:r w:rsidRPr="00F574D3">
        <w:rPr>
          <w:b/>
          <w:bCs/>
          <w:i/>
          <w:iCs/>
          <w:lang w:val="es-MX"/>
        </w:rPr>
        <w:t>don del cielo</w:t>
      </w:r>
      <w:r>
        <w:rPr>
          <w:lang w:val="es-MX"/>
        </w:rPr>
        <w:t>, además de indicarse la expresión técnica de la eucaristía en las comunidades cristianas de Marcos. Los partió (como en la última cena) y lo</w:t>
      </w:r>
      <w:r w:rsidR="00F92C92">
        <w:rPr>
          <w:lang w:val="es-MX"/>
        </w:rPr>
        <w:t>s</w:t>
      </w:r>
      <w:r>
        <w:rPr>
          <w:lang w:val="es-MX"/>
        </w:rPr>
        <w:t xml:space="preserve"> entregó a los discípulos para que sirvieran a la multitud.</w:t>
      </w:r>
    </w:p>
    <w:p w:rsidR="00F574D3" w:rsidRPr="00F574D3" w:rsidRDefault="00F574D3" w:rsidP="00F574D3">
      <w:pPr>
        <w:rPr>
          <w:lang w:val="es-MX"/>
        </w:rPr>
      </w:pPr>
      <w:r>
        <w:rPr>
          <w:lang w:val="es-MX"/>
        </w:rPr>
        <w:t>Antes la multitud es la que no tenía nada para comer: ahora han sido saciados por el pan de Jesús</w:t>
      </w:r>
      <w:r w:rsidR="002266F6">
        <w:rPr>
          <w:lang w:val="es-MX"/>
        </w:rPr>
        <w:t xml:space="preserve"> que es la Palabra de Vida.</w:t>
      </w:r>
      <w:bookmarkStart w:id="0" w:name="_GoBack"/>
      <w:bookmarkEnd w:id="0"/>
    </w:p>
    <w:sectPr w:rsidR="00F574D3" w:rsidRPr="00F574D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9E" w:rsidRDefault="00AA069E" w:rsidP="003C3962">
      <w:r>
        <w:separator/>
      </w:r>
    </w:p>
  </w:endnote>
  <w:endnote w:type="continuationSeparator" w:id="0">
    <w:p w:rsidR="00AA069E" w:rsidRDefault="00AA069E" w:rsidP="003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8" w:rsidRPr="00F571DF" w:rsidRDefault="004804B8" w:rsidP="004804B8">
    <w:pPr>
      <w:pStyle w:val="Piedepgina"/>
      <w:jc w:val="right"/>
    </w:pPr>
    <w:r w:rsidRPr="00F571DF">
      <w:fldChar w:fldCharType="begin"/>
    </w:r>
    <w:r w:rsidRPr="00F571DF">
      <w:instrText>PAGE   \* MERGEFORMAT</w:instrText>
    </w:r>
    <w:r w:rsidRPr="00F571DF">
      <w:fldChar w:fldCharType="separate"/>
    </w:r>
    <w:r w:rsidR="002266F6" w:rsidRPr="002266F6">
      <w:rPr>
        <w:noProof/>
        <w:lang w:val="es-ES"/>
      </w:rPr>
      <w:t>2</w:t>
    </w:r>
    <w:r w:rsidRPr="00F571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9E" w:rsidRDefault="00AA069E" w:rsidP="003C3962">
      <w:r>
        <w:separator/>
      </w:r>
    </w:p>
  </w:footnote>
  <w:footnote w:type="continuationSeparator" w:id="0">
    <w:p w:rsidR="00AA069E" w:rsidRDefault="00AA069E" w:rsidP="003C3962">
      <w:r>
        <w:continuationSeparator/>
      </w:r>
    </w:p>
  </w:footnote>
  <w:footnote w:id="1">
    <w:p w:rsidR="00F92C92" w:rsidRPr="00F92C92" w:rsidRDefault="00F92C92" w:rsidP="00A6411E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75396A">
        <w:t>6,3</w:t>
      </w:r>
      <w:r w:rsidR="00A6411E">
        <w:t>0</w:t>
      </w:r>
      <w:r w:rsidRPr="0075396A">
        <w:t>-4</w:t>
      </w:r>
      <w:r w:rsidR="00A6411E">
        <w:t>4</w:t>
      </w:r>
    </w:p>
  </w:footnote>
  <w:footnote w:id="2">
    <w:p w:rsidR="00096EAD" w:rsidRPr="00096EAD" w:rsidRDefault="00096EAD" w:rsidP="00096EAD">
      <w:pPr>
        <w:pStyle w:val="Textonotapie"/>
      </w:pPr>
      <w:r>
        <w:rPr>
          <w:rStyle w:val="Refdenotaalpie"/>
        </w:rPr>
        <w:footnoteRef/>
      </w:r>
      <w:r>
        <w:t xml:space="preserve"> Recordar que el número 4 es símbolo de universalidad (cuatro son los puntos cardinales, cuatro los vientos, cuatro los ríos de Paraíso…); tal vez está aquí queriendo decir Marcos que a la totalidad de la humanidad Jesús se dirige para alimentarla, para darle la vida.</w:t>
      </w:r>
    </w:p>
  </w:footnote>
  <w:footnote w:id="3">
    <w:p w:rsidR="005A5776" w:rsidRPr="0083348C" w:rsidRDefault="005A5776" w:rsidP="005A57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83348C">
        <w:rPr>
          <w:smallCaps/>
          <w:lang w:val="es-ES"/>
        </w:rPr>
        <w:t>Juan Mateos – Fernando Camacho</w:t>
      </w:r>
      <w:r>
        <w:rPr>
          <w:lang w:val="es-ES"/>
        </w:rPr>
        <w:t xml:space="preserve">. </w:t>
      </w:r>
      <w:r w:rsidRPr="0083348C">
        <w:rPr>
          <w:i/>
          <w:lang w:val="es-ES"/>
        </w:rPr>
        <w:t>El Evangelio de Marcos. Análisis lingüístico y exegético. Vol. II</w:t>
      </w:r>
      <w:r>
        <w:rPr>
          <w:lang w:val="es-ES"/>
        </w:rPr>
        <w:t>. Ed. El Almendro. Córdoba, 1993</w:t>
      </w:r>
    </w:p>
  </w:footnote>
  <w:footnote w:id="4">
    <w:p w:rsidR="007130E8" w:rsidRPr="007130E8" w:rsidRDefault="007130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Os 6,2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851"/>
    <w:multiLevelType w:val="hybridMultilevel"/>
    <w:tmpl w:val="C540D24C"/>
    <w:lvl w:ilvl="0" w:tplc="1682FF8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78"/>
    <w:rsid w:val="00005D74"/>
    <w:rsid w:val="00007550"/>
    <w:rsid w:val="00015135"/>
    <w:rsid w:val="0005044B"/>
    <w:rsid w:val="00052859"/>
    <w:rsid w:val="00061D4D"/>
    <w:rsid w:val="000626F7"/>
    <w:rsid w:val="00077AD8"/>
    <w:rsid w:val="00081481"/>
    <w:rsid w:val="00082048"/>
    <w:rsid w:val="00086473"/>
    <w:rsid w:val="00090871"/>
    <w:rsid w:val="00096EAD"/>
    <w:rsid w:val="00097038"/>
    <w:rsid w:val="00097EFD"/>
    <w:rsid w:val="000A229E"/>
    <w:rsid w:val="000B17B3"/>
    <w:rsid w:val="000B6C2E"/>
    <w:rsid w:val="000B7F7C"/>
    <w:rsid w:val="000C0BA1"/>
    <w:rsid w:val="000F3EB7"/>
    <w:rsid w:val="000F510C"/>
    <w:rsid w:val="00135B69"/>
    <w:rsid w:val="001574FA"/>
    <w:rsid w:val="00165240"/>
    <w:rsid w:val="001743A6"/>
    <w:rsid w:val="0019039F"/>
    <w:rsid w:val="001B4D51"/>
    <w:rsid w:val="002066A1"/>
    <w:rsid w:val="002266F6"/>
    <w:rsid w:val="00237BEE"/>
    <w:rsid w:val="00253A17"/>
    <w:rsid w:val="00264F0E"/>
    <w:rsid w:val="00273B60"/>
    <w:rsid w:val="0028618E"/>
    <w:rsid w:val="002874B1"/>
    <w:rsid w:val="002A66B2"/>
    <w:rsid w:val="002C5CC7"/>
    <w:rsid w:val="002D1A52"/>
    <w:rsid w:val="00305CF9"/>
    <w:rsid w:val="00315639"/>
    <w:rsid w:val="003249B5"/>
    <w:rsid w:val="003373D8"/>
    <w:rsid w:val="00362ACB"/>
    <w:rsid w:val="0038095E"/>
    <w:rsid w:val="003853AB"/>
    <w:rsid w:val="003B267D"/>
    <w:rsid w:val="003B76F5"/>
    <w:rsid w:val="003C3962"/>
    <w:rsid w:val="003E27D7"/>
    <w:rsid w:val="003E567C"/>
    <w:rsid w:val="003F1624"/>
    <w:rsid w:val="003F291C"/>
    <w:rsid w:val="003F55D9"/>
    <w:rsid w:val="004572F9"/>
    <w:rsid w:val="00463CFE"/>
    <w:rsid w:val="00466C9B"/>
    <w:rsid w:val="00470EF6"/>
    <w:rsid w:val="004804B8"/>
    <w:rsid w:val="0048168E"/>
    <w:rsid w:val="00484F86"/>
    <w:rsid w:val="004C00CD"/>
    <w:rsid w:val="0051745D"/>
    <w:rsid w:val="00561868"/>
    <w:rsid w:val="005A5776"/>
    <w:rsid w:val="005B7612"/>
    <w:rsid w:val="005D7018"/>
    <w:rsid w:val="005E05F7"/>
    <w:rsid w:val="005E2B59"/>
    <w:rsid w:val="005F1E68"/>
    <w:rsid w:val="00600791"/>
    <w:rsid w:val="00617E13"/>
    <w:rsid w:val="00623CD7"/>
    <w:rsid w:val="00632234"/>
    <w:rsid w:val="00652BDE"/>
    <w:rsid w:val="00656E21"/>
    <w:rsid w:val="006654EF"/>
    <w:rsid w:val="00686F6B"/>
    <w:rsid w:val="006B557A"/>
    <w:rsid w:val="006E6B83"/>
    <w:rsid w:val="007017C4"/>
    <w:rsid w:val="00704D15"/>
    <w:rsid w:val="007130E8"/>
    <w:rsid w:val="00717FC9"/>
    <w:rsid w:val="0072483C"/>
    <w:rsid w:val="007330B3"/>
    <w:rsid w:val="007335CA"/>
    <w:rsid w:val="0073766C"/>
    <w:rsid w:val="0075450F"/>
    <w:rsid w:val="0075584C"/>
    <w:rsid w:val="007654E4"/>
    <w:rsid w:val="00765F71"/>
    <w:rsid w:val="00770612"/>
    <w:rsid w:val="007806F7"/>
    <w:rsid w:val="007B647D"/>
    <w:rsid w:val="00802ABB"/>
    <w:rsid w:val="00805697"/>
    <w:rsid w:val="00806846"/>
    <w:rsid w:val="00813490"/>
    <w:rsid w:val="0083498A"/>
    <w:rsid w:val="00857F83"/>
    <w:rsid w:val="008714E7"/>
    <w:rsid w:val="00876D50"/>
    <w:rsid w:val="00891AB2"/>
    <w:rsid w:val="00892D23"/>
    <w:rsid w:val="008C060A"/>
    <w:rsid w:val="008C51F7"/>
    <w:rsid w:val="008D4F62"/>
    <w:rsid w:val="00927008"/>
    <w:rsid w:val="00927605"/>
    <w:rsid w:val="00944E8D"/>
    <w:rsid w:val="00950141"/>
    <w:rsid w:val="00963C7C"/>
    <w:rsid w:val="009779A6"/>
    <w:rsid w:val="00981E06"/>
    <w:rsid w:val="00982308"/>
    <w:rsid w:val="00985083"/>
    <w:rsid w:val="009852E4"/>
    <w:rsid w:val="009B150D"/>
    <w:rsid w:val="009B6C21"/>
    <w:rsid w:val="009D77F5"/>
    <w:rsid w:val="009E2019"/>
    <w:rsid w:val="009E39A6"/>
    <w:rsid w:val="009F3D21"/>
    <w:rsid w:val="00A02742"/>
    <w:rsid w:val="00A03578"/>
    <w:rsid w:val="00A11D87"/>
    <w:rsid w:val="00A26087"/>
    <w:rsid w:val="00A50704"/>
    <w:rsid w:val="00A573C1"/>
    <w:rsid w:val="00A57A24"/>
    <w:rsid w:val="00A603CB"/>
    <w:rsid w:val="00A6411E"/>
    <w:rsid w:val="00A7716C"/>
    <w:rsid w:val="00A82206"/>
    <w:rsid w:val="00A93A05"/>
    <w:rsid w:val="00A93D81"/>
    <w:rsid w:val="00A93F3A"/>
    <w:rsid w:val="00AA069E"/>
    <w:rsid w:val="00AA42DF"/>
    <w:rsid w:val="00AA7F70"/>
    <w:rsid w:val="00AB138C"/>
    <w:rsid w:val="00AC5AB9"/>
    <w:rsid w:val="00AE732C"/>
    <w:rsid w:val="00B700A4"/>
    <w:rsid w:val="00B75F35"/>
    <w:rsid w:val="00BB711E"/>
    <w:rsid w:val="00BC5497"/>
    <w:rsid w:val="00BD74FF"/>
    <w:rsid w:val="00BE183C"/>
    <w:rsid w:val="00BE2C51"/>
    <w:rsid w:val="00C07575"/>
    <w:rsid w:val="00C154FB"/>
    <w:rsid w:val="00C17D13"/>
    <w:rsid w:val="00C6456A"/>
    <w:rsid w:val="00C90AB3"/>
    <w:rsid w:val="00C9709F"/>
    <w:rsid w:val="00CB0002"/>
    <w:rsid w:val="00CC0A26"/>
    <w:rsid w:val="00CD4186"/>
    <w:rsid w:val="00CF5A54"/>
    <w:rsid w:val="00D05049"/>
    <w:rsid w:val="00D059E9"/>
    <w:rsid w:val="00D13628"/>
    <w:rsid w:val="00D14A7C"/>
    <w:rsid w:val="00D20432"/>
    <w:rsid w:val="00D206D2"/>
    <w:rsid w:val="00D4535B"/>
    <w:rsid w:val="00D546A4"/>
    <w:rsid w:val="00D6799C"/>
    <w:rsid w:val="00D813E8"/>
    <w:rsid w:val="00D93123"/>
    <w:rsid w:val="00DA5CD7"/>
    <w:rsid w:val="00DC2EA4"/>
    <w:rsid w:val="00DD4C5C"/>
    <w:rsid w:val="00E03AA6"/>
    <w:rsid w:val="00E20BE2"/>
    <w:rsid w:val="00E34D50"/>
    <w:rsid w:val="00E45435"/>
    <w:rsid w:val="00E45F46"/>
    <w:rsid w:val="00E64457"/>
    <w:rsid w:val="00E81378"/>
    <w:rsid w:val="00E822BE"/>
    <w:rsid w:val="00E82632"/>
    <w:rsid w:val="00E92075"/>
    <w:rsid w:val="00EA078E"/>
    <w:rsid w:val="00EC2E49"/>
    <w:rsid w:val="00ED296C"/>
    <w:rsid w:val="00EE772B"/>
    <w:rsid w:val="00EF2776"/>
    <w:rsid w:val="00EF777F"/>
    <w:rsid w:val="00F01075"/>
    <w:rsid w:val="00F10C43"/>
    <w:rsid w:val="00F13D3B"/>
    <w:rsid w:val="00F27E1D"/>
    <w:rsid w:val="00F36546"/>
    <w:rsid w:val="00F571DF"/>
    <w:rsid w:val="00F574D3"/>
    <w:rsid w:val="00F6457E"/>
    <w:rsid w:val="00F655DC"/>
    <w:rsid w:val="00F72525"/>
    <w:rsid w:val="00F91E6E"/>
    <w:rsid w:val="00F9291C"/>
    <w:rsid w:val="00F92C92"/>
    <w:rsid w:val="00F959C5"/>
    <w:rsid w:val="00F96D04"/>
    <w:rsid w:val="00FD067B"/>
    <w:rsid w:val="00FE092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3"/>
    <w:pPr>
      <w:spacing w:after="120"/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652BD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BDE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3"/>
    <w:pPr>
      <w:spacing w:after="120"/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652BD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BDE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5135-7780-4A85-9752-3AC80C8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garcia guerrero</dc:creator>
  <cp:lastModifiedBy>ee ss</cp:lastModifiedBy>
  <cp:revision>7</cp:revision>
  <cp:lastPrinted>2021-02-12T05:14:00Z</cp:lastPrinted>
  <dcterms:created xsi:type="dcterms:W3CDTF">2022-02-12T03:39:00Z</dcterms:created>
  <dcterms:modified xsi:type="dcterms:W3CDTF">2022-02-12T04:24:00Z</dcterms:modified>
</cp:coreProperties>
</file>