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8C550" w14:textId="2C2B4EDB" w:rsidR="00F871DC" w:rsidRDefault="00D959AC" w:rsidP="00070D61">
      <w:pPr>
        <w:jc w:val="center"/>
        <w:rPr>
          <w:b/>
          <w:lang w:val="es-MX"/>
        </w:rPr>
      </w:pPr>
      <w:r>
        <w:rPr>
          <w:b/>
          <w:lang w:val="es-MX"/>
        </w:rPr>
        <w:t>M</w:t>
      </w:r>
      <w:r w:rsidR="00AD52B4">
        <w:rPr>
          <w:b/>
          <w:lang w:val="es-MX"/>
        </w:rPr>
        <w:t>iércoles</w:t>
      </w:r>
      <w:r w:rsidR="00BB6443">
        <w:rPr>
          <w:b/>
          <w:lang w:val="es-MX"/>
        </w:rPr>
        <w:t xml:space="preserve"> </w:t>
      </w:r>
      <w:r w:rsidR="0097157C">
        <w:rPr>
          <w:b/>
          <w:lang w:val="es-MX"/>
        </w:rPr>
        <w:t xml:space="preserve"> </w:t>
      </w:r>
      <w:r w:rsidR="00BB6443">
        <w:rPr>
          <w:b/>
          <w:lang w:val="es-MX"/>
        </w:rPr>
        <w:t>X</w:t>
      </w:r>
      <w:r w:rsidR="0097157C">
        <w:rPr>
          <w:b/>
          <w:lang w:val="es-MX"/>
        </w:rPr>
        <w:t>I</w:t>
      </w:r>
      <w:r w:rsidR="003829B7">
        <w:rPr>
          <w:b/>
          <w:lang w:val="es-MX"/>
        </w:rPr>
        <w:t>V</w:t>
      </w:r>
      <w:r w:rsidR="008A1497">
        <w:rPr>
          <w:b/>
          <w:lang w:val="es-MX"/>
        </w:rPr>
        <w:t xml:space="preserve"> </w:t>
      </w:r>
      <w:r w:rsidR="00D30DC2">
        <w:rPr>
          <w:b/>
          <w:lang w:val="es-MX"/>
        </w:rPr>
        <w:t>del TO</w:t>
      </w:r>
      <w:r w:rsidR="00070D61">
        <w:rPr>
          <w:b/>
          <w:lang w:val="es-MX"/>
        </w:rPr>
        <w:br/>
      </w:r>
      <w:r w:rsidR="00F871DC" w:rsidRPr="00F871DC">
        <w:rPr>
          <w:b/>
          <w:lang w:val="es-MX"/>
        </w:rPr>
        <w:t xml:space="preserve">Ciclo </w:t>
      </w:r>
      <w:r w:rsidR="001B4784">
        <w:rPr>
          <w:b/>
          <w:lang w:val="es-MX"/>
        </w:rPr>
        <w:t>C</w:t>
      </w:r>
    </w:p>
    <w:p w14:paraId="0AC7060C" w14:textId="167674CA" w:rsidR="00F871DC" w:rsidRPr="00680AB3" w:rsidRDefault="00AC55D5" w:rsidP="001B4784">
      <w:pPr>
        <w:jc w:val="right"/>
        <w:rPr>
          <w:i/>
          <w:sz w:val="20"/>
          <w:szCs w:val="20"/>
          <w:lang w:val="es-MX"/>
        </w:rPr>
      </w:pPr>
      <w:r w:rsidRPr="00680AB3">
        <w:rPr>
          <w:b/>
          <w:noProof/>
          <w:sz w:val="20"/>
          <w:szCs w:val="20"/>
          <w:lang w:val="es-ES" w:eastAsia="es-ES" w:bidi="he-IL"/>
        </w:rPr>
        <w:drawing>
          <wp:anchor distT="0" distB="0" distL="114300" distR="114300" simplePos="0" relativeHeight="251659264" behindDoc="1" locked="0" layoutInCell="1" allowOverlap="1" wp14:anchorId="0E27FB97" wp14:editId="43862A2A">
            <wp:simplePos x="0" y="0"/>
            <wp:positionH relativeFrom="column">
              <wp:posOffset>8255</wp:posOffset>
            </wp:positionH>
            <wp:positionV relativeFrom="paragraph">
              <wp:posOffset>13335</wp:posOffset>
            </wp:positionV>
            <wp:extent cx="719455" cy="708660"/>
            <wp:effectExtent l="0" t="0" r="444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sidR="001B4784">
        <w:rPr>
          <w:lang w:val="es-MX"/>
        </w:rPr>
        <w:t>6</w:t>
      </w:r>
      <w:r w:rsidR="0097157C" w:rsidRPr="0097157C">
        <w:rPr>
          <w:lang w:val="es-MX"/>
        </w:rPr>
        <w:t xml:space="preserve"> de </w:t>
      </w:r>
      <w:r w:rsidR="00BB6443">
        <w:rPr>
          <w:lang w:val="es-MX"/>
        </w:rPr>
        <w:t>julio</w:t>
      </w:r>
      <w:r w:rsidR="0097157C" w:rsidRPr="0097157C">
        <w:rPr>
          <w:lang w:val="es-MX"/>
        </w:rPr>
        <w:t xml:space="preserve"> de 20</w:t>
      </w:r>
      <w:r w:rsidR="009A59A2">
        <w:rPr>
          <w:lang w:val="es-MX"/>
        </w:rPr>
        <w:t>2</w:t>
      </w:r>
      <w:r w:rsidR="001B4784">
        <w:rPr>
          <w:lang w:val="es-MX"/>
        </w:rPr>
        <w:t>2</w:t>
      </w:r>
      <w:r w:rsidR="001B4784">
        <w:rPr>
          <w:lang w:val="es-MX"/>
        </w:rPr>
        <w:br/>
      </w:r>
      <w:r w:rsidR="001B4784">
        <w:rPr>
          <w:sz w:val="20"/>
          <w:szCs w:val="20"/>
        </w:rPr>
        <w:t>Os 10, 1-3.7-8.12</w:t>
      </w:r>
      <w:r w:rsidR="001B4784">
        <w:rPr>
          <w:sz w:val="20"/>
          <w:szCs w:val="20"/>
        </w:rPr>
        <w:br/>
      </w:r>
      <w:r w:rsidR="007C7449" w:rsidRPr="00680AB3">
        <w:rPr>
          <w:sz w:val="20"/>
          <w:szCs w:val="20"/>
        </w:rPr>
        <w:t xml:space="preserve">Sal </w:t>
      </w:r>
      <w:r w:rsidR="001B4784">
        <w:rPr>
          <w:sz w:val="20"/>
          <w:szCs w:val="20"/>
        </w:rPr>
        <w:t>104</w:t>
      </w:r>
      <w:r w:rsidR="00630C0D" w:rsidRPr="00680AB3">
        <w:rPr>
          <w:sz w:val="20"/>
          <w:szCs w:val="20"/>
        </w:rPr>
        <w:br/>
      </w:r>
      <w:r w:rsidR="00BB6443" w:rsidRPr="00680AB3">
        <w:rPr>
          <w:sz w:val="20"/>
          <w:szCs w:val="20"/>
        </w:rPr>
        <w:t xml:space="preserve">Mt </w:t>
      </w:r>
      <w:r w:rsidR="00AD52B4" w:rsidRPr="00680AB3">
        <w:rPr>
          <w:sz w:val="20"/>
          <w:szCs w:val="20"/>
        </w:rPr>
        <w:t>10,1-7</w:t>
      </w:r>
      <w:r w:rsidR="00BB6443" w:rsidRPr="00680AB3">
        <w:rPr>
          <w:sz w:val="20"/>
          <w:szCs w:val="20"/>
        </w:rPr>
        <w:br/>
      </w:r>
      <w:r w:rsidR="00F871DC" w:rsidRPr="00680AB3">
        <w:rPr>
          <w:i/>
          <w:sz w:val="20"/>
          <w:szCs w:val="20"/>
          <w:lang w:val="es-MX"/>
        </w:rPr>
        <w:t>P. Eduardo Suanzes, msps</w:t>
      </w:r>
    </w:p>
    <w:p w14:paraId="4109EDB4" w14:textId="115F1003" w:rsidR="00475ED8" w:rsidRDefault="00475ED8" w:rsidP="003328A7">
      <w:pPr>
        <w:jc w:val="both"/>
        <w:rPr>
          <w:lang w:val="es-MX"/>
        </w:rPr>
      </w:pPr>
      <w:r>
        <w:rPr>
          <w:lang w:val="es-MX"/>
        </w:rPr>
        <w:t>Jesús decide crear un grupo</w:t>
      </w:r>
      <w:r w:rsidR="00372061">
        <w:rPr>
          <w:rStyle w:val="Refdenotaalpie"/>
          <w:lang w:val="es-MX"/>
        </w:rPr>
        <w:footnoteReference w:id="1"/>
      </w:r>
      <w:r>
        <w:rPr>
          <w:lang w:val="es-MX"/>
        </w:rPr>
        <w:t xml:space="preserve">, integrado por doce seguidores, estrechamente ligados a su persona y misión, </w:t>
      </w:r>
      <w:r w:rsidRPr="00475ED8">
        <w:rPr>
          <w:lang w:val="es-MX"/>
        </w:rPr>
        <w:t>convirti</w:t>
      </w:r>
      <w:r>
        <w:rPr>
          <w:lang w:val="es-MX"/>
        </w:rPr>
        <w:t xml:space="preserve">endo al grupo </w:t>
      </w:r>
      <w:r w:rsidRPr="00475ED8">
        <w:rPr>
          <w:lang w:val="es-MX"/>
        </w:rPr>
        <w:t>en el modelo permanente de</w:t>
      </w:r>
      <w:r>
        <w:rPr>
          <w:lang w:val="es-MX"/>
        </w:rPr>
        <w:t xml:space="preserve"> lo que significa ser discípulo. </w:t>
      </w:r>
      <w:r w:rsidRPr="00475ED8">
        <w:rPr>
          <w:lang w:val="es-MX"/>
        </w:rPr>
        <w:t>Las tres condiciones del discipulado</w:t>
      </w:r>
      <w:r>
        <w:rPr>
          <w:lang w:val="es-MX"/>
        </w:rPr>
        <w:t xml:space="preserve"> son: </w:t>
      </w:r>
      <w:r w:rsidRPr="00475ED8">
        <w:rPr>
          <w:lang w:val="es-MX"/>
        </w:rPr>
        <w:t>recibir una llamada perentoria de Jesús; seguir a J</w:t>
      </w:r>
      <w:r>
        <w:rPr>
          <w:lang w:val="es-MX"/>
        </w:rPr>
        <w:t>e</w:t>
      </w:r>
      <w:r w:rsidRPr="00475ED8">
        <w:rPr>
          <w:lang w:val="es-MX"/>
        </w:rPr>
        <w:t>sús físicamente, renunciando a unos vínculos normales con la propia familia</w:t>
      </w:r>
      <w:r>
        <w:rPr>
          <w:lang w:val="es-MX"/>
        </w:rPr>
        <w:t>;</w:t>
      </w:r>
      <w:r w:rsidRPr="00475ED8">
        <w:rPr>
          <w:lang w:val="es-MX"/>
        </w:rPr>
        <w:t xml:space="preserve"> y exponerse al sufrimiento</w:t>
      </w:r>
      <w:r>
        <w:rPr>
          <w:lang w:val="es-MX"/>
        </w:rPr>
        <w:t xml:space="preserve">. Y estas tres condiciones </w:t>
      </w:r>
      <w:r w:rsidRPr="00475ED8">
        <w:rPr>
          <w:lang w:val="es-MX"/>
        </w:rPr>
        <w:t xml:space="preserve">estaban especialmente representadas por este círculo íntimo de discípulos a los que Jesús había escogido </w:t>
      </w:r>
      <w:r>
        <w:rPr>
          <w:rFonts w:ascii="Calibri" w:hAnsi="Calibri" w:cs="Calibri"/>
          <w:lang w:val="es-MX"/>
        </w:rPr>
        <w:t>«</w:t>
      </w:r>
      <w:r w:rsidRPr="00475ED8">
        <w:rPr>
          <w:i/>
          <w:lang w:val="es-MX"/>
        </w:rPr>
        <w:t>para que estuvieran con él</w:t>
      </w:r>
      <w:r>
        <w:rPr>
          <w:rFonts w:ascii="Calibri" w:hAnsi="Calibri" w:cs="Calibri"/>
          <w:lang w:val="es-MX"/>
        </w:rPr>
        <w:t>»</w:t>
      </w:r>
      <w:r>
        <w:rPr>
          <w:lang w:val="es-MX"/>
        </w:rPr>
        <w:t xml:space="preserve"> </w:t>
      </w:r>
      <w:r w:rsidRPr="00475ED8">
        <w:rPr>
          <w:lang w:val="es-MX"/>
        </w:rPr>
        <w:t>(por emplear la expresión con la que Marcos resu</w:t>
      </w:r>
      <w:r>
        <w:rPr>
          <w:lang w:val="es-MX"/>
        </w:rPr>
        <w:t>m</w:t>
      </w:r>
      <w:r w:rsidRPr="00475ED8">
        <w:rPr>
          <w:lang w:val="es-MX"/>
        </w:rPr>
        <w:t>e su función)</w:t>
      </w:r>
      <w:r>
        <w:rPr>
          <w:lang w:val="es-MX"/>
        </w:rPr>
        <w:t>,</w:t>
      </w:r>
      <w:r w:rsidRPr="00475ED8">
        <w:rPr>
          <w:lang w:val="es-MX"/>
        </w:rPr>
        <w:t xml:space="preserve"> mientras realizaba sus recorridos de predicación por Palesti</w:t>
      </w:r>
      <w:r>
        <w:rPr>
          <w:lang w:val="es-MX"/>
        </w:rPr>
        <w:t>n</w:t>
      </w:r>
      <w:r w:rsidRPr="00475ED8">
        <w:rPr>
          <w:lang w:val="es-MX"/>
        </w:rPr>
        <w:t xml:space="preserve">a. </w:t>
      </w:r>
    </w:p>
    <w:p w14:paraId="5E3258E0" w14:textId="685D7E07" w:rsidR="00475ED8" w:rsidRDefault="00475ED8" w:rsidP="003328A7">
      <w:pPr>
        <w:jc w:val="both"/>
        <w:rPr>
          <w:lang w:val="es-MX"/>
        </w:rPr>
      </w:pPr>
      <w:r>
        <w:rPr>
          <w:lang w:val="es-MX"/>
        </w:rPr>
        <w:t>En general</w:t>
      </w:r>
      <w:r w:rsidRPr="00475ED8">
        <w:rPr>
          <w:lang w:val="es-MX"/>
        </w:rPr>
        <w:t xml:space="preserve"> los discípulos a los que Jesús había escogido originalmente para el círculo de los Doce perseveraron en es</w:t>
      </w:r>
      <w:r>
        <w:rPr>
          <w:lang w:val="es-MX"/>
        </w:rPr>
        <w:t>t</w:t>
      </w:r>
      <w:r w:rsidRPr="00475ED8">
        <w:rPr>
          <w:lang w:val="es-MX"/>
        </w:rPr>
        <w:t xml:space="preserve">e relevante grupo de seguidores a lo largo de los éxitos y fracasos del ministerio; es más, con la excepción de Judas, tras el </w:t>
      </w:r>
      <w:r w:rsidR="001B4784">
        <w:rPr>
          <w:rFonts w:ascii="Calibri" w:hAnsi="Calibri" w:cs="Calibri"/>
          <w:lang w:val="es-MX"/>
        </w:rPr>
        <w:t>«</w:t>
      </w:r>
      <w:r w:rsidRPr="00475ED8">
        <w:rPr>
          <w:i/>
          <w:lang w:val="es-MX"/>
        </w:rPr>
        <w:t>desastre</w:t>
      </w:r>
      <w:r w:rsidR="001B4784">
        <w:rPr>
          <w:rFonts w:ascii="Calibri" w:hAnsi="Calibri" w:cs="Calibri"/>
          <w:i/>
          <w:lang w:val="es-MX"/>
        </w:rPr>
        <w:t>»</w:t>
      </w:r>
      <w:r w:rsidR="001B4784">
        <w:rPr>
          <w:rStyle w:val="Refdenotaalpie"/>
          <w:rFonts w:ascii="Calibri" w:hAnsi="Calibri" w:cs="Calibri"/>
          <w:i/>
          <w:lang w:val="es-MX"/>
        </w:rPr>
        <w:footnoteReference w:id="2"/>
      </w:r>
      <w:r w:rsidRPr="00475ED8">
        <w:rPr>
          <w:lang w:val="es-MX"/>
        </w:rPr>
        <w:t xml:space="preserve"> del Calvario llegaron a conocer</w:t>
      </w:r>
      <w:r>
        <w:rPr>
          <w:lang w:val="es-MX"/>
        </w:rPr>
        <w:t>,</w:t>
      </w:r>
      <w:r w:rsidRPr="00475ED8">
        <w:rPr>
          <w:lang w:val="es-MX"/>
        </w:rPr>
        <w:t xml:space="preserve"> como grupo</w:t>
      </w:r>
      <w:r>
        <w:rPr>
          <w:lang w:val="es-MX"/>
        </w:rPr>
        <w:t>,</w:t>
      </w:r>
      <w:r w:rsidRPr="00475ED8">
        <w:rPr>
          <w:lang w:val="es-MX"/>
        </w:rPr>
        <w:t xml:space="preserve"> los pr</w:t>
      </w:r>
      <w:r>
        <w:rPr>
          <w:lang w:val="es-MX"/>
        </w:rPr>
        <w:t>imeros días</w:t>
      </w:r>
      <w:r w:rsidRPr="00475ED8">
        <w:rPr>
          <w:lang w:val="es-MX"/>
        </w:rPr>
        <w:t xml:space="preserve"> de la Iglesia. </w:t>
      </w:r>
      <w:r>
        <w:rPr>
          <w:lang w:val="es-MX"/>
        </w:rPr>
        <w:t>Luego, podemos decir, a pesar de las vicisitudes durante la vida de Jesús, que este grupo que aquí en el Evangelio se nos menciona perseveró hasta el final.</w:t>
      </w:r>
    </w:p>
    <w:p w14:paraId="7C34B7CA" w14:textId="59E7BA77" w:rsidR="00475ED8" w:rsidRDefault="00475ED8" w:rsidP="003328A7">
      <w:pPr>
        <w:jc w:val="both"/>
        <w:rPr>
          <w:lang w:val="es-MX"/>
        </w:rPr>
      </w:pPr>
      <w:r>
        <w:rPr>
          <w:lang w:val="es-MX"/>
        </w:rPr>
        <w:t xml:space="preserve">Es de suponer que la intención de Jesús al elegir a los Doce iba más allá que la de ofrecer un modelo de discipulado. </w:t>
      </w:r>
      <w:r w:rsidRPr="00475ED8">
        <w:rPr>
          <w:lang w:val="es-MX"/>
        </w:rPr>
        <w:t xml:space="preserve">La intención de Jesús parece concordar con lo esencial de su predicación a Israel: </w:t>
      </w:r>
      <w:r w:rsidRPr="00372061">
        <w:rPr>
          <w:b/>
          <w:i/>
          <w:lang w:val="es-MX"/>
        </w:rPr>
        <w:t>la venida del reino de Dios, que establecería su reinado definitivo sobre un Israel restaurado</w:t>
      </w:r>
      <w:r w:rsidRPr="00475ED8">
        <w:rPr>
          <w:lang w:val="es-MX"/>
        </w:rPr>
        <w:t>.</w:t>
      </w:r>
      <w:r>
        <w:rPr>
          <w:lang w:val="es-MX"/>
        </w:rPr>
        <w:t xml:space="preserve"> Reino de Dios e Israel Nuevo tienen que ver con la formación del grupo de los Doce.</w:t>
      </w:r>
      <w:r w:rsidR="00372061">
        <w:rPr>
          <w:lang w:val="es-MX"/>
        </w:rPr>
        <w:t xml:space="preserve"> ¿Cómo y por qué? Aquí está lo interesante que les comparto.</w:t>
      </w:r>
    </w:p>
    <w:p w14:paraId="2D9DCA1D" w14:textId="39F6D6CA" w:rsidR="00475ED8" w:rsidRDefault="00372061" w:rsidP="00267CD5">
      <w:pPr>
        <w:jc w:val="both"/>
        <w:rPr>
          <w:lang w:val="es-MX"/>
        </w:rPr>
      </w:pPr>
      <w:r>
        <w:rPr>
          <w:lang w:val="es-MX"/>
        </w:rPr>
        <w:t>Recuerden que</w:t>
      </w:r>
      <w:r w:rsidR="00475ED8">
        <w:rPr>
          <w:lang w:val="es-MX"/>
        </w:rPr>
        <w:t xml:space="preserve"> Dios se formó un pueblo con doce tribus, descendiente de doce patriarcas</w:t>
      </w:r>
      <w:r w:rsidR="00475ED8">
        <w:rPr>
          <w:rStyle w:val="Refdenotaalpie"/>
          <w:lang w:val="es-MX"/>
        </w:rPr>
        <w:footnoteReference w:id="3"/>
      </w:r>
      <w:r w:rsidR="006631E7">
        <w:rPr>
          <w:lang w:val="es-MX"/>
        </w:rPr>
        <w:t xml:space="preserve">, hijos todos ellos de Jacob, quien había tomado el nombre de Israel (de ahí la expresión </w:t>
      </w:r>
      <w:r w:rsidR="006631E7">
        <w:rPr>
          <w:rFonts w:ascii="Calibri" w:hAnsi="Calibri" w:cs="Calibri"/>
          <w:lang w:val="es-MX"/>
        </w:rPr>
        <w:t>«</w:t>
      </w:r>
      <w:r w:rsidR="006631E7">
        <w:rPr>
          <w:i/>
          <w:lang w:val="es-MX"/>
        </w:rPr>
        <w:t>los hijos de Israel</w:t>
      </w:r>
      <w:r w:rsidR="006631E7">
        <w:rPr>
          <w:rFonts w:ascii="Calibri" w:hAnsi="Calibri" w:cs="Calibri"/>
          <w:lang w:val="es-MX"/>
        </w:rPr>
        <w:t>»</w:t>
      </w:r>
      <w:r w:rsidR="006631E7">
        <w:rPr>
          <w:lang w:val="es-MX"/>
        </w:rPr>
        <w:t>). Sabemos, para no alargarnos en este punto, que las doce tribus, a lo largo de la historia fueron diezmadas, aniquiladas, llevadas al destierro, primero las diez del norte y luego las del sur. Algunas volvieron para reconstruir Jerusalén pero fue decepcionante</w:t>
      </w:r>
      <w:r>
        <w:rPr>
          <w:lang w:val="es-MX"/>
        </w:rPr>
        <w:t xml:space="preserve"> tal empeño</w:t>
      </w:r>
      <w:r w:rsidR="006631E7">
        <w:rPr>
          <w:lang w:val="es-MX"/>
        </w:rPr>
        <w:t xml:space="preserve">, dejando mucho que desear. </w:t>
      </w:r>
      <w:r w:rsidR="006631E7" w:rsidRPr="006631E7">
        <w:rPr>
          <w:lang w:val="es-MX"/>
        </w:rPr>
        <w:t>Tiene poco de sorprendente, por tanto, que los judíos empezaran a mirar con fe hacia un futuro en el que Dios reuniría a l</w:t>
      </w:r>
      <w:r w:rsidR="006631E7">
        <w:rPr>
          <w:lang w:val="es-MX"/>
        </w:rPr>
        <w:t>as</w:t>
      </w:r>
      <w:r w:rsidR="006631E7" w:rsidRPr="006631E7">
        <w:rPr>
          <w:lang w:val="es-MX"/>
        </w:rPr>
        <w:t xml:space="preserve"> doce tribus en una tierra prometida entonces restaurada. Según muchas profecías, </w:t>
      </w:r>
      <w:r w:rsidR="006631E7">
        <w:rPr>
          <w:rFonts w:ascii="Calibri" w:hAnsi="Calibri" w:cs="Calibri"/>
          <w:lang w:val="es-MX"/>
        </w:rPr>
        <w:t>«</w:t>
      </w:r>
      <w:r w:rsidR="006631E7" w:rsidRPr="006631E7">
        <w:rPr>
          <w:i/>
          <w:lang w:val="es-MX"/>
        </w:rPr>
        <w:t>al final de los días</w:t>
      </w:r>
      <w:r w:rsidR="006631E7">
        <w:rPr>
          <w:rFonts w:ascii="Calibri" w:hAnsi="Calibri" w:cs="Calibri"/>
          <w:lang w:val="es-MX"/>
        </w:rPr>
        <w:t>»</w:t>
      </w:r>
      <w:r w:rsidR="006631E7" w:rsidRPr="006631E7">
        <w:rPr>
          <w:lang w:val="es-MX"/>
        </w:rPr>
        <w:t>, Yahvé habría de reconstituir su pueblo Israel como una unidad</w:t>
      </w:r>
      <w:r w:rsidR="006631E7">
        <w:rPr>
          <w:rStyle w:val="Refdenotaalpie"/>
          <w:lang w:val="es-MX"/>
        </w:rPr>
        <w:footnoteReference w:id="4"/>
      </w:r>
      <w:r w:rsidR="006631E7" w:rsidRPr="006631E7">
        <w:rPr>
          <w:lang w:val="es-MX"/>
        </w:rPr>
        <w:t>.</w:t>
      </w:r>
    </w:p>
    <w:p w14:paraId="6EE14D04" w14:textId="591D812D" w:rsidR="00336E31" w:rsidRDefault="00336E31" w:rsidP="003328A7">
      <w:pPr>
        <w:jc w:val="both"/>
        <w:rPr>
          <w:lang w:val="es-MX"/>
        </w:rPr>
      </w:pPr>
      <w:r>
        <w:rPr>
          <w:lang w:val="es-MX"/>
        </w:rPr>
        <w:lastRenderedPageBreak/>
        <w:t>Pues bien, en este contexto de escatología de restauración</w:t>
      </w:r>
      <w:r w:rsidR="00372061">
        <w:rPr>
          <w:lang w:val="es-MX"/>
        </w:rPr>
        <w:t xml:space="preserve"> (es decir, de restauración futura, del final de los tiempos)</w:t>
      </w:r>
      <w:r>
        <w:rPr>
          <w:lang w:val="es-MX"/>
        </w:rPr>
        <w:t xml:space="preserve"> debe ser entendido este episodio (y los paralelos</w:t>
      </w:r>
      <w:r w:rsidR="00372061">
        <w:rPr>
          <w:lang w:val="es-MX"/>
        </w:rPr>
        <w:t xml:space="preserve"> en los otros evangelios</w:t>
      </w:r>
      <w:r>
        <w:rPr>
          <w:lang w:val="es-MX"/>
        </w:rPr>
        <w:t xml:space="preserve">) de la elección de los Doce. </w:t>
      </w:r>
      <w:r w:rsidRPr="00372061">
        <w:rPr>
          <w:b/>
          <w:i/>
          <w:lang w:val="es-MX"/>
        </w:rPr>
        <w:t>La venida del reino de Dios, objeto de la predicación de Jesús, está absolutamente ligada a la reunión de todo Israel</w:t>
      </w:r>
      <w:r w:rsidRPr="00336E31">
        <w:rPr>
          <w:lang w:val="es-MX"/>
        </w:rPr>
        <w:t xml:space="preserve">. </w:t>
      </w:r>
      <w:r>
        <w:rPr>
          <w:lang w:val="es-MX"/>
        </w:rPr>
        <w:t xml:space="preserve">La expresión </w:t>
      </w:r>
      <w:r>
        <w:rPr>
          <w:rFonts w:ascii="Calibri" w:hAnsi="Calibri" w:cs="Calibri"/>
          <w:lang w:val="es-MX"/>
        </w:rPr>
        <w:t>«</w:t>
      </w:r>
      <w:r w:rsidRPr="00336E31">
        <w:rPr>
          <w:i/>
          <w:lang w:val="es-MX"/>
        </w:rPr>
        <w:t>Reino de Dios</w:t>
      </w:r>
      <w:r>
        <w:rPr>
          <w:rFonts w:ascii="Calibri" w:hAnsi="Calibri" w:cs="Calibri"/>
          <w:lang w:val="es-MX"/>
        </w:rPr>
        <w:t>»</w:t>
      </w:r>
      <w:r w:rsidRPr="00336E31">
        <w:rPr>
          <w:lang w:val="es-MX"/>
        </w:rPr>
        <w:t xml:space="preserve"> es un símbolo centrado en la colectividad, en Israel. De ahí que, Jesús</w:t>
      </w:r>
      <w:r>
        <w:rPr>
          <w:lang w:val="es-MX"/>
        </w:rPr>
        <w:t>, como vemos en el trozo del Evangelio de hoy,</w:t>
      </w:r>
      <w:r w:rsidRPr="00336E31">
        <w:rPr>
          <w:lang w:val="es-MX"/>
        </w:rPr>
        <w:t xml:space="preserve"> no se dirija en los mismos términos al judío y al gentil</w:t>
      </w:r>
      <w:r>
        <w:rPr>
          <w:lang w:val="es-MX"/>
        </w:rPr>
        <w:t xml:space="preserve">: </w:t>
      </w:r>
      <w:r>
        <w:rPr>
          <w:rFonts w:ascii="Calibri" w:hAnsi="Calibri" w:cs="Calibri"/>
          <w:lang w:val="es-MX"/>
        </w:rPr>
        <w:t>«</w:t>
      </w:r>
      <w:r w:rsidRPr="00336E31">
        <w:rPr>
          <w:i/>
          <w:lang w:val="es-MX"/>
        </w:rPr>
        <w:t>no vayan a tierra de paganos, ni entren en ciudades de samaritanos. Vayan más bien en busca de las ovejas perdidas de Israel</w:t>
      </w:r>
      <w:r>
        <w:rPr>
          <w:rFonts w:ascii="Calibri" w:hAnsi="Calibri" w:cs="Calibri"/>
          <w:lang w:val="es-MX"/>
        </w:rPr>
        <w:t>»</w:t>
      </w:r>
      <w:r>
        <w:rPr>
          <w:lang w:val="es-MX"/>
        </w:rPr>
        <w:t>.</w:t>
      </w:r>
      <w:r w:rsidRPr="00336E31">
        <w:rPr>
          <w:lang w:val="es-MX"/>
        </w:rPr>
        <w:t xml:space="preserve"> </w:t>
      </w:r>
      <w:r>
        <w:rPr>
          <w:lang w:val="es-MX"/>
        </w:rPr>
        <w:t>Jesús</w:t>
      </w:r>
      <w:r w:rsidRPr="00336E31">
        <w:rPr>
          <w:lang w:val="es-MX"/>
        </w:rPr>
        <w:t xml:space="preserve"> se orienta decididamente hacia el pueblo de Israel; los encuentros personales con gentiles son acontecimientos raros y ocasionales.</w:t>
      </w:r>
      <w:r>
        <w:rPr>
          <w:lang w:val="es-MX"/>
        </w:rPr>
        <w:t xml:space="preserve"> Más adelante, el episodio con la mujer siro-fenicia le abrirá el campo hacia la universalidad.</w:t>
      </w:r>
    </w:p>
    <w:p w14:paraId="46574A30" w14:textId="2DCCCFF1" w:rsidR="00336E31" w:rsidRDefault="00336E31" w:rsidP="003328A7">
      <w:pPr>
        <w:jc w:val="both"/>
        <w:rPr>
          <w:lang w:val="es-MX"/>
        </w:rPr>
      </w:pPr>
      <w:r w:rsidRPr="00336E31">
        <w:rPr>
          <w:lang w:val="es-MX"/>
        </w:rPr>
        <w:t xml:space="preserve">Dentro de esta esperanza de amplia </w:t>
      </w:r>
      <w:r>
        <w:rPr>
          <w:lang w:val="es-MX"/>
        </w:rPr>
        <w:t xml:space="preserve">envergadura </w:t>
      </w:r>
      <w:r w:rsidRPr="00336E31">
        <w:rPr>
          <w:lang w:val="es-MX"/>
        </w:rPr>
        <w:t xml:space="preserve">sobre la reunión en el tiempo final de todo Israel, de las doce tribus, es donde hay que entender la elección por Jesús de un círculo íntimo de </w:t>
      </w:r>
      <w:r w:rsidRPr="00336E31">
        <w:rPr>
          <w:b/>
          <w:i/>
          <w:lang w:val="es-MX"/>
        </w:rPr>
        <w:t>doce</w:t>
      </w:r>
      <w:r w:rsidRPr="00336E31">
        <w:rPr>
          <w:lang w:val="es-MX"/>
        </w:rPr>
        <w:t xml:space="preserve"> discípulos. Como profeta judío en la línea de Isaías, Jeremías y Ezequiel, </w:t>
      </w:r>
      <w:r>
        <w:rPr>
          <w:lang w:val="es-MX"/>
        </w:rPr>
        <w:t xml:space="preserve">que por medio de gestos simbólicos efectuaban profecías y comunicaban designios divinos, </w:t>
      </w:r>
      <w:r w:rsidRPr="00336E31">
        <w:rPr>
          <w:lang w:val="es-MX"/>
        </w:rPr>
        <w:t xml:space="preserve">Jesús entendía </w:t>
      </w:r>
      <w:r>
        <w:rPr>
          <w:lang w:val="es-MX"/>
        </w:rPr>
        <w:sym w:font="Symbol" w:char="F02D"/>
      </w:r>
      <w:r w:rsidRPr="00336E31">
        <w:rPr>
          <w:lang w:val="es-MX"/>
        </w:rPr>
        <w:t>y a veces efectuaba</w:t>
      </w:r>
      <w:r>
        <w:rPr>
          <w:lang w:val="es-MX"/>
        </w:rPr>
        <w:sym w:font="Symbol" w:char="F02D"/>
      </w:r>
      <w:r w:rsidRPr="00336E31">
        <w:rPr>
          <w:lang w:val="es-MX"/>
        </w:rPr>
        <w:t xml:space="preserve"> los gestos profético-simbó</w:t>
      </w:r>
      <w:r>
        <w:rPr>
          <w:lang w:val="es-MX"/>
        </w:rPr>
        <w:t xml:space="preserve">licos que proclamaban el reino. Por tanto, </w:t>
      </w:r>
      <w:r w:rsidRPr="00336E31">
        <w:rPr>
          <w:lang w:val="es-MX"/>
        </w:rPr>
        <w:t>Jesús estaba realizando conscientemente ese poderoso acto profético cuando constituyó los Doce.</w:t>
      </w:r>
    </w:p>
    <w:p w14:paraId="53AC822C" w14:textId="5117276F" w:rsidR="00F233EC" w:rsidRDefault="00F233EC" w:rsidP="00680AB3">
      <w:pPr>
        <w:jc w:val="both"/>
        <w:rPr>
          <w:lang w:val="es-MX"/>
        </w:rPr>
      </w:pPr>
      <w:r>
        <w:rPr>
          <w:lang w:val="es-MX"/>
        </w:rPr>
        <w:t>Para entender bien lo que este gesto simbólico de Jesús representaba tenemos que entender el sentido de los gestos de los profetas del Antiguo Testamento. Pongamos un ejemplo: el hecho del destierro. Cuando Isaías</w:t>
      </w:r>
      <w:r>
        <w:rPr>
          <w:rStyle w:val="Refdenotaalpie"/>
          <w:lang w:val="es-MX"/>
        </w:rPr>
        <w:footnoteReference w:id="5"/>
      </w:r>
      <w:r>
        <w:rPr>
          <w:lang w:val="es-MX"/>
        </w:rPr>
        <w:t xml:space="preserve"> hace </w:t>
      </w:r>
      <w:r w:rsidR="00680AB3">
        <w:rPr>
          <w:lang w:val="es-MX"/>
        </w:rPr>
        <w:t>el</w:t>
      </w:r>
      <w:r>
        <w:rPr>
          <w:lang w:val="es-MX"/>
        </w:rPr>
        <w:t xml:space="preserve"> gesto de ir desnudo en público; cuando Jeremías</w:t>
      </w:r>
      <w:r>
        <w:rPr>
          <w:rStyle w:val="Refdenotaalpie"/>
          <w:lang w:val="es-MX"/>
        </w:rPr>
        <w:footnoteReference w:id="6"/>
      </w:r>
      <w:r>
        <w:rPr>
          <w:lang w:val="es-MX"/>
        </w:rPr>
        <w:t xml:space="preserve"> estrella un cántaro de vino; cuando Ezequiel</w:t>
      </w:r>
      <w:r>
        <w:rPr>
          <w:rStyle w:val="Refdenotaalpie"/>
          <w:lang w:val="es-MX"/>
        </w:rPr>
        <w:footnoteReference w:id="7"/>
      </w:r>
      <w:r>
        <w:rPr>
          <w:lang w:val="es-MX"/>
        </w:rPr>
        <w:t xml:space="preserve"> se tiende de costado contemplando una tableta de arcilla en </w:t>
      </w:r>
      <w:r w:rsidR="00680AB3">
        <w:rPr>
          <w:lang w:val="es-MX"/>
        </w:rPr>
        <w:t>d</w:t>
      </w:r>
      <w:r>
        <w:rPr>
          <w:lang w:val="es-MX"/>
        </w:rPr>
        <w:t>onde está grabada la imagen de Jerusalén, ellos están profetizando dramáticamente la destrucción y el destierro. Pero no solamente con gestos que predicen algo que sucederá: sino que esos gestos simbólicos desatan los acontecimientos, los pone en marcha.</w:t>
      </w:r>
    </w:p>
    <w:p w14:paraId="0BFB62A9" w14:textId="2E39652F" w:rsidR="00336E31" w:rsidRPr="006631E7" w:rsidRDefault="00F233EC" w:rsidP="003328A7">
      <w:pPr>
        <w:jc w:val="both"/>
        <w:rPr>
          <w:lang w:val="es-MX"/>
        </w:rPr>
      </w:pPr>
      <w:r w:rsidRPr="00F233EC">
        <w:rPr>
          <w:lang w:val="es-MX"/>
        </w:rPr>
        <w:t xml:space="preserve">Lo mismo vale para la creación de los Doce por Jesús. 1) Dada la </w:t>
      </w:r>
      <w:r>
        <w:rPr>
          <w:rFonts w:ascii="Calibri" w:hAnsi="Calibri" w:cs="Calibri"/>
          <w:lang w:val="es-MX"/>
        </w:rPr>
        <w:t>«</w:t>
      </w:r>
      <w:r w:rsidRPr="00F233EC">
        <w:rPr>
          <w:lang w:val="es-MX"/>
        </w:rPr>
        <w:t>escatología de la reunión de las tribus</w:t>
      </w:r>
      <w:r>
        <w:rPr>
          <w:rFonts w:ascii="Calibri" w:hAnsi="Calibri" w:cs="Calibri"/>
          <w:lang w:val="es-MX"/>
        </w:rPr>
        <w:t>»</w:t>
      </w:r>
      <w:r w:rsidRPr="00F233EC">
        <w:rPr>
          <w:lang w:val="es-MX"/>
        </w:rPr>
        <w:t>, que era muy conocida en Jerusalén; 2) dada la afirmación de Jesús de ser el profeta del tiempo final al modo de Elía</w:t>
      </w:r>
      <w:r>
        <w:rPr>
          <w:lang w:val="es-MX"/>
        </w:rPr>
        <w:t>s (que iba a reunir las tribus),</w:t>
      </w:r>
      <w:r w:rsidRPr="00F233EC">
        <w:rPr>
          <w:lang w:val="es-MX"/>
        </w:rPr>
        <w:t xml:space="preserve"> y 3) dado el sentido fuertemente realista de las acciones simbólicas de un profeta </w:t>
      </w:r>
      <w:r>
        <w:rPr>
          <w:lang w:val="es-MX"/>
        </w:rPr>
        <w:sym w:font="Symbol" w:char="F02D"/>
      </w:r>
      <w:r w:rsidRPr="00F233EC">
        <w:rPr>
          <w:lang w:val="es-MX"/>
        </w:rPr>
        <w:t>sentido repetidamente mostrado por Jesús</w:t>
      </w:r>
      <w:r>
        <w:rPr>
          <w:lang w:val="es-MX"/>
        </w:rPr>
        <w:sym w:font="Symbol" w:char="F02D"/>
      </w:r>
      <w:r w:rsidRPr="00F233EC">
        <w:rPr>
          <w:lang w:val="es-MX"/>
        </w:rPr>
        <w:t xml:space="preserve">, entonces el mero hecho de que el profeta escatológico Jesús decidiera seleccionar doce hombres israelitas entre sus discípulos para formar un grupo especial </w:t>
      </w:r>
      <w:r w:rsidRPr="00F233EC">
        <w:rPr>
          <w:b/>
          <w:i/>
          <w:lang w:val="es-MX"/>
        </w:rPr>
        <w:t>ponía en acción, a ojos de sus adeptos, la reunión de las doce tribus,</w:t>
      </w:r>
      <w:r w:rsidRPr="00F233EC">
        <w:rPr>
          <w:lang w:val="es-MX"/>
        </w:rPr>
        <w:t xml:space="preserve"> incluso antes de que esos doce hombres hicieran nada. La institución de los Doce es, pues, perfectamente coherente con la misión de Jesús y su mensaje escatológico y centrado en el pueblo: Dios viene en poder para reunir a Israel y reinar sobre él en el tiempo final.</w:t>
      </w:r>
      <w:bookmarkStart w:id="0" w:name="_GoBack"/>
      <w:bookmarkEnd w:id="0"/>
    </w:p>
    <w:sectPr w:rsidR="00336E31" w:rsidRPr="006631E7" w:rsidSect="000C7C80">
      <w:footerReference w:type="even" r:id="rId10"/>
      <w:footerReference w:type="default" r:id="rId11"/>
      <w:pgSz w:w="12240" w:h="15840"/>
      <w:pgMar w:top="709" w:right="170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CF844" w14:textId="77777777" w:rsidR="00121B52" w:rsidRDefault="00121B52" w:rsidP="001B7EE8">
      <w:r>
        <w:separator/>
      </w:r>
    </w:p>
  </w:endnote>
  <w:endnote w:type="continuationSeparator" w:id="0">
    <w:p w14:paraId="0CAD5B63" w14:textId="77777777" w:rsidR="00121B52" w:rsidRDefault="00121B52" w:rsidP="001B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1F0D3" w14:textId="77777777" w:rsidR="001B7EE8" w:rsidRDefault="001B7EE8" w:rsidP="00DC243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4D38068" w14:textId="77777777" w:rsidR="001B7EE8" w:rsidRDefault="001B7EE8" w:rsidP="001B7EE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D306B" w14:textId="77777777" w:rsidR="001B7EE8" w:rsidRDefault="001B7EE8" w:rsidP="00DC243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D217D">
      <w:rPr>
        <w:rStyle w:val="Nmerodepgina"/>
        <w:noProof/>
      </w:rPr>
      <w:t>2</w:t>
    </w:r>
    <w:r>
      <w:rPr>
        <w:rStyle w:val="Nmerodepgina"/>
      </w:rPr>
      <w:fldChar w:fldCharType="end"/>
    </w:r>
  </w:p>
  <w:p w14:paraId="78B9B1F6" w14:textId="77777777" w:rsidR="001B7EE8" w:rsidRDefault="001B7EE8" w:rsidP="001B7EE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4A512" w14:textId="77777777" w:rsidR="00121B52" w:rsidRDefault="00121B52" w:rsidP="001B7EE8">
      <w:r>
        <w:separator/>
      </w:r>
    </w:p>
  </w:footnote>
  <w:footnote w:type="continuationSeparator" w:id="0">
    <w:p w14:paraId="7C531A01" w14:textId="77777777" w:rsidR="00121B52" w:rsidRDefault="00121B52" w:rsidP="001B7EE8">
      <w:r>
        <w:continuationSeparator/>
      </w:r>
    </w:p>
  </w:footnote>
  <w:footnote w:id="1">
    <w:p w14:paraId="06F5F18D" w14:textId="5FC3B339" w:rsidR="00372061" w:rsidRPr="00372061" w:rsidRDefault="00372061" w:rsidP="00372061">
      <w:pPr>
        <w:pStyle w:val="Textonotapie"/>
      </w:pPr>
      <w:r>
        <w:rPr>
          <w:rStyle w:val="Refdenotaalpie"/>
        </w:rPr>
        <w:footnoteRef/>
      </w:r>
      <w:r>
        <w:t xml:space="preserve"> Cfr. </w:t>
      </w:r>
      <w:r w:rsidRPr="00372061">
        <w:rPr>
          <w:smallCaps/>
        </w:rPr>
        <w:t xml:space="preserve">John P. </w:t>
      </w:r>
      <w:proofErr w:type="spellStart"/>
      <w:r w:rsidRPr="00372061">
        <w:rPr>
          <w:smallCaps/>
        </w:rPr>
        <w:t>Meier</w:t>
      </w:r>
      <w:proofErr w:type="spellEnd"/>
      <w:r>
        <w:t xml:space="preserve">. </w:t>
      </w:r>
      <w:r w:rsidRPr="00372061">
        <w:t>Un judío marginal. Nueva visión del Jesús histórico. T. III. Compañeros y competidores</w:t>
      </w:r>
      <w:r>
        <w:t>. Ed. Verbo Divino. Estella (Navarra), 2003</w:t>
      </w:r>
    </w:p>
  </w:footnote>
  <w:footnote w:id="2">
    <w:p w14:paraId="65B8B0F3" w14:textId="3D9287BF" w:rsidR="001B4784" w:rsidRDefault="001B4784" w:rsidP="001B4784">
      <w:pPr>
        <w:pStyle w:val="Textonotapie"/>
      </w:pPr>
      <w:r>
        <w:rPr>
          <w:rStyle w:val="Refdenotaalpie"/>
        </w:rPr>
        <w:footnoteRef/>
      </w:r>
      <w:r>
        <w:t xml:space="preserve"> Utilizo esta expresión desde la mentalidad inicial de los Doce; después comprenderán que la pasión y muerte de Jesús fue un triunfo del amor hasta el extremo y el acto supremo de la Redención de la humanidad.</w:t>
      </w:r>
    </w:p>
  </w:footnote>
  <w:footnote w:id="3">
    <w:p w14:paraId="7A088287" w14:textId="47FD5ED3" w:rsidR="00475ED8" w:rsidRPr="00475ED8" w:rsidRDefault="00475ED8">
      <w:pPr>
        <w:pStyle w:val="Textonotapie"/>
        <w:rPr>
          <w:lang w:val="es-ES"/>
        </w:rPr>
      </w:pPr>
      <w:r>
        <w:rPr>
          <w:rStyle w:val="Refdenotaalpie"/>
        </w:rPr>
        <w:footnoteRef/>
      </w:r>
      <w:r>
        <w:t xml:space="preserve"> </w:t>
      </w:r>
      <w:proofErr w:type="spellStart"/>
      <w:r>
        <w:rPr>
          <w:lang w:val="es-ES"/>
        </w:rPr>
        <w:t>Cfr</w:t>
      </w:r>
      <w:proofErr w:type="spellEnd"/>
      <w:r>
        <w:rPr>
          <w:lang w:val="es-ES"/>
        </w:rPr>
        <w:t xml:space="preserve"> Gen </w:t>
      </w:r>
      <w:r w:rsidR="006631E7">
        <w:rPr>
          <w:lang w:val="es-ES"/>
        </w:rPr>
        <w:t>2</w:t>
      </w:r>
      <w:r>
        <w:rPr>
          <w:lang w:val="es-ES"/>
        </w:rPr>
        <w:t>9-49</w:t>
      </w:r>
    </w:p>
  </w:footnote>
  <w:footnote w:id="4">
    <w:p w14:paraId="7E6D6825" w14:textId="5BF171AA" w:rsidR="006631E7" w:rsidRPr="006631E7" w:rsidRDefault="006631E7" w:rsidP="001B4784">
      <w:pPr>
        <w:pStyle w:val="Textonotapie"/>
      </w:pPr>
      <w:r>
        <w:rPr>
          <w:rStyle w:val="Refdenotaalpie"/>
        </w:rPr>
        <w:footnoteRef/>
      </w:r>
      <w:r>
        <w:t xml:space="preserve"> Cfr. </w:t>
      </w:r>
      <w:proofErr w:type="spellStart"/>
      <w:r>
        <w:t>Miq</w:t>
      </w:r>
      <w:proofErr w:type="spellEnd"/>
      <w:r>
        <w:t xml:space="preserve"> 2,12-13; 4,9; Is 11,1-9; 11,10-16; 59,15-21; 60, por citar algunos textos. Tanto en Jeremías como en Ezequiel se encuentran textos similares. También Tobías, Baruc, y Ben </w:t>
      </w:r>
      <w:proofErr w:type="spellStart"/>
      <w:r>
        <w:t>Sirá</w:t>
      </w:r>
      <w:proofErr w:type="spellEnd"/>
      <w:r>
        <w:t xml:space="preserve"> continúan desarrollando esta esperanza para la restauración de las doce tribus por Dios en el tiempo final. Los </w:t>
      </w:r>
      <w:r w:rsidR="00372061">
        <w:t>ú</w:t>
      </w:r>
      <w:r>
        <w:t>ltimo</w:t>
      </w:r>
      <w:r w:rsidR="00372061">
        <w:t>s</w:t>
      </w:r>
      <w:r>
        <w:t xml:space="preserve"> libros tardíos de los Macabeos, también recogen esta esperanza. </w:t>
      </w:r>
      <w:r w:rsidRPr="006631E7">
        <w:t>Incluso la comunidad de Qumrán, tan sectaria</w:t>
      </w:r>
      <w:r w:rsidR="00336E31">
        <w:t>,</w:t>
      </w:r>
      <w:r w:rsidRPr="006631E7">
        <w:t xml:space="preserve"> que consideraba a los israelitas ajenos a ella como susceptibles de recibir en el juicio final la misma sentencia que los paganos, alimentaba, sin embargo, la esperanza de una reconstitución de las doce tribus en los días últimos.</w:t>
      </w:r>
    </w:p>
  </w:footnote>
  <w:footnote w:id="5">
    <w:p w14:paraId="2AE83BFA" w14:textId="7AEE92DD" w:rsidR="00F233EC" w:rsidRPr="00F233EC" w:rsidRDefault="00F233EC">
      <w:pPr>
        <w:pStyle w:val="Textonotapie"/>
        <w:rPr>
          <w:lang w:val="es-ES"/>
        </w:rPr>
      </w:pPr>
      <w:r>
        <w:rPr>
          <w:rStyle w:val="Refdenotaalpie"/>
        </w:rPr>
        <w:footnoteRef/>
      </w:r>
      <w:r>
        <w:t xml:space="preserve"> </w:t>
      </w:r>
      <w:r>
        <w:rPr>
          <w:lang w:val="es-ES"/>
        </w:rPr>
        <w:t>Cfr. Is, 20,1-6</w:t>
      </w:r>
    </w:p>
  </w:footnote>
  <w:footnote w:id="6">
    <w:p w14:paraId="6EA720DD" w14:textId="473685C5" w:rsidR="00F233EC" w:rsidRPr="00F233EC" w:rsidRDefault="00F233EC">
      <w:pPr>
        <w:pStyle w:val="Textonotapie"/>
        <w:rPr>
          <w:lang w:val="es-ES"/>
        </w:rPr>
      </w:pPr>
      <w:r>
        <w:rPr>
          <w:rStyle w:val="Refdenotaalpie"/>
        </w:rPr>
        <w:footnoteRef/>
      </w:r>
      <w:r>
        <w:t xml:space="preserve"> </w:t>
      </w:r>
      <w:r>
        <w:rPr>
          <w:lang w:val="es-ES"/>
        </w:rPr>
        <w:t xml:space="preserve">Cfr. </w:t>
      </w:r>
      <w:proofErr w:type="spellStart"/>
      <w:r>
        <w:rPr>
          <w:lang w:val="es-ES"/>
        </w:rPr>
        <w:t>Jr</w:t>
      </w:r>
      <w:proofErr w:type="spellEnd"/>
      <w:r>
        <w:rPr>
          <w:lang w:val="es-ES"/>
        </w:rPr>
        <w:t xml:space="preserve"> 13,12-14</w:t>
      </w:r>
    </w:p>
  </w:footnote>
  <w:footnote w:id="7">
    <w:p w14:paraId="47CEE7C3" w14:textId="271EE887" w:rsidR="00F233EC" w:rsidRPr="00F233EC" w:rsidRDefault="00F233EC">
      <w:pPr>
        <w:pStyle w:val="Textonotapie"/>
        <w:rPr>
          <w:lang w:val="es-ES"/>
        </w:rPr>
      </w:pPr>
      <w:r>
        <w:rPr>
          <w:rStyle w:val="Refdenotaalpie"/>
        </w:rPr>
        <w:footnoteRef/>
      </w:r>
      <w:r>
        <w:t xml:space="preserve"> </w:t>
      </w:r>
      <w:r>
        <w:rPr>
          <w:lang w:val="es-ES"/>
        </w:rPr>
        <w:t>Cfr. Ez 4, 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F0BCE"/>
    <w:multiLevelType w:val="hybridMultilevel"/>
    <w:tmpl w:val="3252F1AC"/>
    <w:lvl w:ilvl="0" w:tplc="040A000D">
      <w:start w:val="1"/>
      <w:numFmt w:val="bullet"/>
      <w:lvlText w:val=""/>
      <w:lvlJc w:val="left"/>
      <w:pPr>
        <w:ind w:left="828" w:hanging="360"/>
      </w:pPr>
      <w:rPr>
        <w:rFonts w:ascii="Wingdings" w:hAnsi="Wingdings" w:hint="default"/>
      </w:rPr>
    </w:lvl>
    <w:lvl w:ilvl="1" w:tplc="040A0003" w:tentative="1">
      <w:start w:val="1"/>
      <w:numFmt w:val="bullet"/>
      <w:lvlText w:val="o"/>
      <w:lvlJc w:val="left"/>
      <w:pPr>
        <w:ind w:left="1548" w:hanging="360"/>
      </w:pPr>
      <w:rPr>
        <w:rFonts w:ascii="Courier New" w:hAnsi="Courier New" w:cs="Courier New" w:hint="default"/>
      </w:rPr>
    </w:lvl>
    <w:lvl w:ilvl="2" w:tplc="040A0005" w:tentative="1">
      <w:start w:val="1"/>
      <w:numFmt w:val="bullet"/>
      <w:lvlText w:val=""/>
      <w:lvlJc w:val="left"/>
      <w:pPr>
        <w:ind w:left="2268" w:hanging="360"/>
      </w:pPr>
      <w:rPr>
        <w:rFonts w:ascii="Wingdings" w:hAnsi="Wingdings" w:hint="default"/>
      </w:rPr>
    </w:lvl>
    <w:lvl w:ilvl="3" w:tplc="040A0001" w:tentative="1">
      <w:start w:val="1"/>
      <w:numFmt w:val="bullet"/>
      <w:lvlText w:val=""/>
      <w:lvlJc w:val="left"/>
      <w:pPr>
        <w:ind w:left="2988" w:hanging="360"/>
      </w:pPr>
      <w:rPr>
        <w:rFonts w:ascii="Symbol" w:hAnsi="Symbol" w:hint="default"/>
      </w:rPr>
    </w:lvl>
    <w:lvl w:ilvl="4" w:tplc="040A0003" w:tentative="1">
      <w:start w:val="1"/>
      <w:numFmt w:val="bullet"/>
      <w:lvlText w:val="o"/>
      <w:lvlJc w:val="left"/>
      <w:pPr>
        <w:ind w:left="3708" w:hanging="360"/>
      </w:pPr>
      <w:rPr>
        <w:rFonts w:ascii="Courier New" w:hAnsi="Courier New" w:cs="Courier New" w:hint="default"/>
      </w:rPr>
    </w:lvl>
    <w:lvl w:ilvl="5" w:tplc="040A0005" w:tentative="1">
      <w:start w:val="1"/>
      <w:numFmt w:val="bullet"/>
      <w:lvlText w:val=""/>
      <w:lvlJc w:val="left"/>
      <w:pPr>
        <w:ind w:left="4428" w:hanging="360"/>
      </w:pPr>
      <w:rPr>
        <w:rFonts w:ascii="Wingdings" w:hAnsi="Wingdings" w:hint="default"/>
      </w:rPr>
    </w:lvl>
    <w:lvl w:ilvl="6" w:tplc="040A0001" w:tentative="1">
      <w:start w:val="1"/>
      <w:numFmt w:val="bullet"/>
      <w:lvlText w:val=""/>
      <w:lvlJc w:val="left"/>
      <w:pPr>
        <w:ind w:left="5148" w:hanging="360"/>
      </w:pPr>
      <w:rPr>
        <w:rFonts w:ascii="Symbol" w:hAnsi="Symbol" w:hint="default"/>
      </w:rPr>
    </w:lvl>
    <w:lvl w:ilvl="7" w:tplc="040A0003" w:tentative="1">
      <w:start w:val="1"/>
      <w:numFmt w:val="bullet"/>
      <w:lvlText w:val="o"/>
      <w:lvlJc w:val="left"/>
      <w:pPr>
        <w:ind w:left="5868" w:hanging="360"/>
      </w:pPr>
      <w:rPr>
        <w:rFonts w:ascii="Courier New" w:hAnsi="Courier New" w:cs="Courier New" w:hint="default"/>
      </w:rPr>
    </w:lvl>
    <w:lvl w:ilvl="8" w:tplc="040A0005" w:tentative="1">
      <w:start w:val="1"/>
      <w:numFmt w:val="bullet"/>
      <w:lvlText w:val=""/>
      <w:lvlJc w:val="left"/>
      <w:pPr>
        <w:ind w:left="65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1DC"/>
    <w:rsid w:val="00002D43"/>
    <w:rsid w:val="00026415"/>
    <w:rsid w:val="00026EC8"/>
    <w:rsid w:val="0003169D"/>
    <w:rsid w:val="00032F77"/>
    <w:rsid w:val="00041A64"/>
    <w:rsid w:val="0004712A"/>
    <w:rsid w:val="00053328"/>
    <w:rsid w:val="00057638"/>
    <w:rsid w:val="000579A7"/>
    <w:rsid w:val="00062BB2"/>
    <w:rsid w:val="000650D2"/>
    <w:rsid w:val="00067937"/>
    <w:rsid w:val="00070D61"/>
    <w:rsid w:val="00097BF4"/>
    <w:rsid w:val="000A0085"/>
    <w:rsid w:val="000B3A39"/>
    <w:rsid w:val="000B6223"/>
    <w:rsid w:val="000C483C"/>
    <w:rsid w:val="000C7C80"/>
    <w:rsid w:val="000D1E8A"/>
    <w:rsid w:val="000D301F"/>
    <w:rsid w:val="000D3C76"/>
    <w:rsid w:val="000D5809"/>
    <w:rsid w:val="000E4D53"/>
    <w:rsid w:val="000E6422"/>
    <w:rsid w:val="000E7667"/>
    <w:rsid w:val="000F244F"/>
    <w:rsid w:val="000F3864"/>
    <w:rsid w:val="001074FC"/>
    <w:rsid w:val="00111A10"/>
    <w:rsid w:val="00114D93"/>
    <w:rsid w:val="00121A59"/>
    <w:rsid w:val="00121B52"/>
    <w:rsid w:val="0012285C"/>
    <w:rsid w:val="00123CC8"/>
    <w:rsid w:val="00130BFD"/>
    <w:rsid w:val="00134787"/>
    <w:rsid w:val="001467C6"/>
    <w:rsid w:val="00154D05"/>
    <w:rsid w:val="00156608"/>
    <w:rsid w:val="001572E3"/>
    <w:rsid w:val="00160176"/>
    <w:rsid w:val="00160C82"/>
    <w:rsid w:val="00162F78"/>
    <w:rsid w:val="00164CAD"/>
    <w:rsid w:val="00171402"/>
    <w:rsid w:val="00173A7D"/>
    <w:rsid w:val="00186C38"/>
    <w:rsid w:val="00186C9A"/>
    <w:rsid w:val="00195145"/>
    <w:rsid w:val="001A1FA9"/>
    <w:rsid w:val="001A6FA2"/>
    <w:rsid w:val="001B0DE3"/>
    <w:rsid w:val="001B29C3"/>
    <w:rsid w:val="001B4784"/>
    <w:rsid w:val="001B4B98"/>
    <w:rsid w:val="001B7EE8"/>
    <w:rsid w:val="001C2AA0"/>
    <w:rsid w:val="001C38A2"/>
    <w:rsid w:val="001C6C3A"/>
    <w:rsid w:val="001D1E66"/>
    <w:rsid w:val="001D2840"/>
    <w:rsid w:val="001D29D1"/>
    <w:rsid w:val="001D2BB3"/>
    <w:rsid w:val="001D5B49"/>
    <w:rsid w:val="001D71EA"/>
    <w:rsid w:val="001F1FAE"/>
    <w:rsid w:val="001F4CFC"/>
    <w:rsid w:val="0020353E"/>
    <w:rsid w:val="00205A1D"/>
    <w:rsid w:val="0022039B"/>
    <w:rsid w:val="0022254F"/>
    <w:rsid w:val="00222A81"/>
    <w:rsid w:val="0023015F"/>
    <w:rsid w:val="00234D04"/>
    <w:rsid w:val="0024070C"/>
    <w:rsid w:val="00240DAB"/>
    <w:rsid w:val="00243347"/>
    <w:rsid w:val="002437F8"/>
    <w:rsid w:val="0024471E"/>
    <w:rsid w:val="00254638"/>
    <w:rsid w:val="002560F8"/>
    <w:rsid w:val="00256748"/>
    <w:rsid w:val="002570EF"/>
    <w:rsid w:val="00267CD5"/>
    <w:rsid w:val="00270339"/>
    <w:rsid w:val="00275BF1"/>
    <w:rsid w:val="00277DE4"/>
    <w:rsid w:val="0028021F"/>
    <w:rsid w:val="00293510"/>
    <w:rsid w:val="002A0A6C"/>
    <w:rsid w:val="002A4D13"/>
    <w:rsid w:val="002B139D"/>
    <w:rsid w:val="002B42A4"/>
    <w:rsid w:val="002C0587"/>
    <w:rsid w:val="002C5A08"/>
    <w:rsid w:val="002D0F07"/>
    <w:rsid w:val="002E12A9"/>
    <w:rsid w:val="002E3721"/>
    <w:rsid w:val="002F06D0"/>
    <w:rsid w:val="002F1158"/>
    <w:rsid w:val="00315105"/>
    <w:rsid w:val="0033083B"/>
    <w:rsid w:val="003328A7"/>
    <w:rsid w:val="00336E31"/>
    <w:rsid w:val="00337EB0"/>
    <w:rsid w:val="00342F1D"/>
    <w:rsid w:val="003458F0"/>
    <w:rsid w:val="00346F6A"/>
    <w:rsid w:val="00360473"/>
    <w:rsid w:val="0036260D"/>
    <w:rsid w:val="00372061"/>
    <w:rsid w:val="00376961"/>
    <w:rsid w:val="00381E07"/>
    <w:rsid w:val="003829B7"/>
    <w:rsid w:val="003841DE"/>
    <w:rsid w:val="00396BBD"/>
    <w:rsid w:val="003A1B52"/>
    <w:rsid w:val="003A5DE0"/>
    <w:rsid w:val="003B258B"/>
    <w:rsid w:val="003B34FC"/>
    <w:rsid w:val="003B6CB5"/>
    <w:rsid w:val="003C05F2"/>
    <w:rsid w:val="003C5F38"/>
    <w:rsid w:val="003F2830"/>
    <w:rsid w:val="0041428B"/>
    <w:rsid w:val="0041504D"/>
    <w:rsid w:val="004174D1"/>
    <w:rsid w:val="00422B49"/>
    <w:rsid w:val="00431988"/>
    <w:rsid w:val="004362B2"/>
    <w:rsid w:val="004363F3"/>
    <w:rsid w:val="0044140D"/>
    <w:rsid w:val="004459E1"/>
    <w:rsid w:val="00457A19"/>
    <w:rsid w:val="00457EFA"/>
    <w:rsid w:val="00460AC3"/>
    <w:rsid w:val="0046300D"/>
    <w:rsid w:val="00467D7C"/>
    <w:rsid w:val="00470DD6"/>
    <w:rsid w:val="00474FFC"/>
    <w:rsid w:val="00475ED8"/>
    <w:rsid w:val="0047722B"/>
    <w:rsid w:val="00480FDD"/>
    <w:rsid w:val="004859EC"/>
    <w:rsid w:val="004B0B97"/>
    <w:rsid w:val="004B2A99"/>
    <w:rsid w:val="004C2A8D"/>
    <w:rsid w:val="004C4B80"/>
    <w:rsid w:val="004E2014"/>
    <w:rsid w:val="004E546A"/>
    <w:rsid w:val="004F5E7F"/>
    <w:rsid w:val="004F71FB"/>
    <w:rsid w:val="004F7468"/>
    <w:rsid w:val="005015A0"/>
    <w:rsid w:val="00504B4B"/>
    <w:rsid w:val="00505239"/>
    <w:rsid w:val="00505A23"/>
    <w:rsid w:val="00507438"/>
    <w:rsid w:val="0051304D"/>
    <w:rsid w:val="0051397B"/>
    <w:rsid w:val="005142BD"/>
    <w:rsid w:val="005227CC"/>
    <w:rsid w:val="005361FC"/>
    <w:rsid w:val="00540CAE"/>
    <w:rsid w:val="00562688"/>
    <w:rsid w:val="00562D60"/>
    <w:rsid w:val="005656F0"/>
    <w:rsid w:val="00572859"/>
    <w:rsid w:val="00576052"/>
    <w:rsid w:val="005771E9"/>
    <w:rsid w:val="00581810"/>
    <w:rsid w:val="0059639D"/>
    <w:rsid w:val="005A0323"/>
    <w:rsid w:val="005A214E"/>
    <w:rsid w:val="005A45AA"/>
    <w:rsid w:val="005A4DF0"/>
    <w:rsid w:val="005A7080"/>
    <w:rsid w:val="005B0FED"/>
    <w:rsid w:val="005B26D6"/>
    <w:rsid w:val="005B2A43"/>
    <w:rsid w:val="005B3735"/>
    <w:rsid w:val="005B6833"/>
    <w:rsid w:val="005C137E"/>
    <w:rsid w:val="005C4E44"/>
    <w:rsid w:val="005C5C17"/>
    <w:rsid w:val="005C79AC"/>
    <w:rsid w:val="005E71D4"/>
    <w:rsid w:val="005F408B"/>
    <w:rsid w:val="005F4422"/>
    <w:rsid w:val="005F5FA3"/>
    <w:rsid w:val="00600AAC"/>
    <w:rsid w:val="00602B43"/>
    <w:rsid w:val="0060353F"/>
    <w:rsid w:val="00603FC9"/>
    <w:rsid w:val="006061E0"/>
    <w:rsid w:val="006108B7"/>
    <w:rsid w:val="00612ECF"/>
    <w:rsid w:val="00615F20"/>
    <w:rsid w:val="00625B1A"/>
    <w:rsid w:val="00630C0D"/>
    <w:rsid w:val="00631A5D"/>
    <w:rsid w:val="0064718B"/>
    <w:rsid w:val="00647CB4"/>
    <w:rsid w:val="00654183"/>
    <w:rsid w:val="006631E7"/>
    <w:rsid w:val="00667915"/>
    <w:rsid w:val="006763C1"/>
    <w:rsid w:val="00677A97"/>
    <w:rsid w:val="00680AB3"/>
    <w:rsid w:val="00680E7E"/>
    <w:rsid w:val="00683CB2"/>
    <w:rsid w:val="00683EE7"/>
    <w:rsid w:val="00687026"/>
    <w:rsid w:val="0069060F"/>
    <w:rsid w:val="0069061C"/>
    <w:rsid w:val="006A0ED3"/>
    <w:rsid w:val="006A31D4"/>
    <w:rsid w:val="006A4885"/>
    <w:rsid w:val="006A6579"/>
    <w:rsid w:val="006A7B41"/>
    <w:rsid w:val="006C2A81"/>
    <w:rsid w:val="006C3713"/>
    <w:rsid w:val="006D01E4"/>
    <w:rsid w:val="006D0E25"/>
    <w:rsid w:val="006D46C9"/>
    <w:rsid w:val="006D55B0"/>
    <w:rsid w:val="006E43E8"/>
    <w:rsid w:val="006E71A7"/>
    <w:rsid w:val="006F0DD0"/>
    <w:rsid w:val="006F1B4B"/>
    <w:rsid w:val="006F671F"/>
    <w:rsid w:val="00703268"/>
    <w:rsid w:val="0071240B"/>
    <w:rsid w:val="00720327"/>
    <w:rsid w:val="0072146A"/>
    <w:rsid w:val="007227D6"/>
    <w:rsid w:val="00724122"/>
    <w:rsid w:val="00725942"/>
    <w:rsid w:val="007358EF"/>
    <w:rsid w:val="007401F7"/>
    <w:rsid w:val="00740AD2"/>
    <w:rsid w:val="00745F8A"/>
    <w:rsid w:val="007510D7"/>
    <w:rsid w:val="00755263"/>
    <w:rsid w:val="007564C3"/>
    <w:rsid w:val="007639C6"/>
    <w:rsid w:val="00763F66"/>
    <w:rsid w:val="00765869"/>
    <w:rsid w:val="00765DD1"/>
    <w:rsid w:val="007678F3"/>
    <w:rsid w:val="00771CC0"/>
    <w:rsid w:val="007806A4"/>
    <w:rsid w:val="007848A6"/>
    <w:rsid w:val="00785343"/>
    <w:rsid w:val="00790D0E"/>
    <w:rsid w:val="007917E6"/>
    <w:rsid w:val="007A6477"/>
    <w:rsid w:val="007A70A2"/>
    <w:rsid w:val="007B5F38"/>
    <w:rsid w:val="007B6EC4"/>
    <w:rsid w:val="007C0ACE"/>
    <w:rsid w:val="007C7449"/>
    <w:rsid w:val="007D09DC"/>
    <w:rsid w:val="007D62F1"/>
    <w:rsid w:val="007E3CBD"/>
    <w:rsid w:val="00811D6C"/>
    <w:rsid w:val="008337D6"/>
    <w:rsid w:val="008340F1"/>
    <w:rsid w:val="00834D0B"/>
    <w:rsid w:val="00841D0B"/>
    <w:rsid w:val="008546E7"/>
    <w:rsid w:val="0085546A"/>
    <w:rsid w:val="008616C8"/>
    <w:rsid w:val="00863843"/>
    <w:rsid w:val="0086779A"/>
    <w:rsid w:val="00870473"/>
    <w:rsid w:val="008713E0"/>
    <w:rsid w:val="00872050"/>
    <w:rsid w:val="00876EDA"/>
    <w:rsid w:val="0087747F"/>
    <w:rsid w:val="008821AA"/>
    <w:rsid w:val="0088266F"/>
    <w:rsid w:val="00883CCD"/>
    <w:rsid w:val="00890C84"/>
    <w:rsid w:val="00893DE1"/>
    <w:rsid w:val="00895CE6"/>
    <w:rsid w:val="00897FD0"/>
    <w:rsid w:val="008A1497"/>
    <w:rsid w:val="008A5E64"/>
    <w:rsid w:val="008A6EB6"/>
    <w:rsid w:val="008D0277"/>
    <w:rsid w:val="008D217D"/>
    <w:rsid w:val="008E089E"/>
    <w:rsid w:val="008E493E"/>
    <w:rsid w:val="008E7881"/>
    <w:rsid w:val="008F7C79"/>
    <w:rsid w:val="0090183B"/>
    <w:rsid w:val="00901D74"/>
    <w:rsid w:val="00902E3A"/>
    <w:rsid w:val="009035B1"/>
    <w:rsid w:val="0090623C"/>
    <w:rsid w:val="00910848"/>
    <w:rsid w:val="00926E37"/>
    <w:rsid w:val="009277C8"/>
    <w:rsid w:val="00933052"/>
    <w:rsid w:val="0094486E"/>
    <w:rsid w:val="0094777C"/>
    <w:rsid w:val="00960DE7"/>
    <w:rsid w:val="0096179F"/>
    <w:rsid w:val="00963416"/>
    <w:rsid w:val="0097157C"/>
    <w:rsid w:val="00977FE1"/>
    <w:rsid w:val="00981F60"/>
    <w:rsid w:val="00986EA1"/>
    <w:rsid w:val="00991912"/>
    <w:rsid w:val="009A1ABF"/>
    <w:rsid w:val="009A3426"/>
    <w:rsid w:val="009A59A2"/>
    <w:rsid w:val="009B1514"/>
    <w:rsid w:val="009C140F"/>
    <w:rsid w:val="009D7B15"/>
    <w:rsid w:val="009E173C"/>
    <w:rsid w:val="009E3B73"/>
    <w:rsid w:val="00A0051C"/>
    <w:rsid w:val="00A0116F"/>
    <w:rsid w:val="00A051A6"/>
    <w:rsid w:val="00A16990"/>
    <w:rsid w:val="00A2130A"/>
    <w:rsid w:val="00A365BB"/>
    <w:rsid w:val="00A37152"/>
    <w:rsid w:val="00A41FD9"/>
    <w:rsid w:val="00A4330F"/>
    <w:rsid w:val="00A46676"/>
    <w:rsid w:val="00A54F38"/>
    <w:rsid w:val="00A55A96"/>
    <w:rsid w:val="00A56290"/>
    <w:rsid w:val="00A60CC4"/>
    <w:rsid w:val="00A619B4"/>
    <w:rsid w:val="00A629AE"/>
    <w:rsid w:val="00A64C69"/>
    <w:rsid w:val="00A6731D"/>
    <w:rsid w:val="00A71419"/>
    <w:rsid w:val="00A77A98"/>
    <w:rsid w:val="00A87345"/>
    <w:rsid w:val="00A9414A"/>
    <w:rsid w:val="00AA7C0F"/>
    <w:rsid w:val="00AC55D5"/>
    <w:rsid w:val="00AD13E5"/>
    <w:rsid w:val="00AD52B4"/>
    <w:rsid w:val="00AD6E55"/>
    <w:rsid w:val="00AD7041"/>
    <w:rsid w:val="00AD7D02"/>
    <w:rsid w:val="00AE094A"/>
    <w:rsid w:val="00AF1009"/>
    <w:rsid w:val="00AF7439"/>
    <w:rsid w:val="00AF7A1E"/>
    <w:rsid w:val="00AF7E92"/>
    <w:rsid w:val="00B00008"/>
    <w:rsid w:val="00B03D32"/>
    <w:rsid w:val="00B04C94"/>
    <w:rsid w:val="00B0587A"/>
    <w:rsid w:val="00B13410"/>
    <w:rsid w:val="00B1673A"/>
    <w:rsid w:val="00B226FC"/>
    <w:rsid w:val="00B35419"/>
    <w:rsid w:val="00B41F33"/>
    <w:rsid w:val="00B64327"/>
    <w:rsid w:val="00B6684E"/>
    <w:rsid w:val="00B7795B"/>
    <w:rsid w:val="00B9696C"/>
    <w:rsid w:val="00BA7255"/>
    <w:rsid w:val="00BB3CFE"/>
    <w:rsid w:val="00BB6443"/>
    <w:rsid w:val="00BC7B47"/>
    <w:rsid w:val="00BD3769"/>
    <w:rsid w:val="00BE493B"/>
    <w:rsid w:val="00BE7730"/>
    <w:rsid w:val="00C02AF4"/>
    <w:rsid w:val="00C034BA"/>
    <w:rsid w:val="00C050AA"/>
    <w:rsid w:val="00C062D5"/>
    <w:rsid w:val="00C104A0"/>
    <w:rsid w:val="00C16157"/>
    <w:rsid w:val="00C30925"/>
    <w:rsid w:val="00C4363C"/>
    <w:rsid w:val="00C54AD2"/>
    <w:rsid w:val="00C5532D"/>
    <w:rsid w:val="00C614C6"/>
    <w:rsid w:val="00C627A0"/>
    <w:rsid w:val="00C67F03"/>
    <w:rsid w:val="00C814E6"/>
    <w:rsid w:val="00C81E76"/>
    <w:rsid w:val="00C85AC8"/>
    <w:rsid w:val="00C93F1D"/>
    <w:rsid w:val="00CA1C48"/>
    <w:rsid w:val="00CA2BFF"/>
    <w:rsid w:val="00CA39DD"/>
    <w:rsid w:val="00CB0B01"/>
    <w:rsid w:val="00CB6AC2"/>
    <w:rsid w:val="00CB7CF3"/>
    <w:rsid w:val="00CD1F3D"/>
    <w:rsid w:val="00CD4734"/>
    <w:rsid w:val="00CE2746"/>
    <w:rsid w:val="00CE47B7"/>
    <w:rsid w:val="00CE76A8"/>
    <w:rsid w:val="00CF0736"/>
    <w:rsid w:val="00D0051A"/>
    <w:rsid w:val="00D0509A"/>
    <w:rsid w:val="00D07A18"/>
    <w:rsid w:val="00D07B70"/>
    <w:rsid w:val="00D10568"/>
    <w:rsid w:val="00D30DC2"/>
    <w:rsid w:val="00D3496C"/>
    <w:rsid w:val="00D472A1"/>
    <w:rsid w:val="00D57201"/>
    <w:rsid w:val="00D673DA"/>
    <w:rsid w:val="00D82E62"/>
    <w:rsid w:val="00D9484E"/>
    <w:rsid w:val="00D959AC"/>
    <w:rsid w:val="00DA16EB"/>
    <w:rsid w:val="00DA7804"/>
    <w:rsid w:val="00DB7F3B"/>
    <w:rsid w:val="00DC1202"/>
    <w:rsid w:val="00DD1711"/>
    <w:rsid w:val="00DE637A"/>
    <w:rsid w:val="00DF09C0"/>
    <w:rsid w:val="00DF2BFA"/>
    <w:rsid w:val="00DF5DF6"/>
    <w:rsid w:val="00DF7CD4"/>
    <w:rsid w:val="00E02DB0"/>
    <w:rsid w:val="00E059AC"/>
    <w:rsid w:val="00E12A63"/>
    <w:rsid w:val="00E26F8D"/>
    <w:rsid w:val="00E27CCD"/>
    <w:rsid w:val="00E34C52"/>
    <w:rsid w:val="00E469A0"/>
    <w:rsid w:val="00E5183B"/>
    <w:rsid w:val="00E62318"/>
    <w:rsid w:val="00E66252"/>
    <w:rsid w:val="00E7179D"/>
    <w:rsid w:val="00E725EF"/>
    <w:rsid w:val="00E73AD6"/>
    <w:rsid w:val="00E83FD8"/>
    <w:rsid w:val="00E96E9F"/>
    <w:rsid w:val="00EB063B"/>
    <w:rsid w:val="00EB2AA7"/>
    <w:rsid w:val="00EB6ECC"/>
    <w:rsid w:val="00EC2F2E"/>
    <w:rsid w:val="00ED075E"/>
    <w:rsid w:val="00ED147C"/>
    <w:rsid w:val="00ED1DF5"/>
    <w:rsid w:val="00EE1727"/>
    <w:rsid w:val="00EE2977"/>
    <w:rsid w:val="00EF60A6"/>
    <w:rsid w:val="00EF7814"/>
    <w:rsid w:val="00EF7CF7"/>
    <w:rsid w:val="00F004C3"/>
    <w:rsid w:val="00F00C75"/>
    <w:rsid w:val="00F01EFE"/>
    <w:rsid w:val="00F0491D"/>
    <w:rsid w:val="00F14EBE"/>
    <w:rsid w:val="00F233EC"/>
    <w:rsid w:val="00F3110D"/>
    <w:rsid w:val="00F452C3"/>
    <w:rsid w:val="00F520F0"/>
    <w:rsid w:val="00F561A6"/>
    <w:rsid w:val="00F612E9"/>
    <w:rsid w:val="00F77839"/>
    <w:rsid w:val="00F81CAB"/>
    <w:rsid w:val="00F81FA9"/>
    <w:rsid w:val="00F84070"/>
    <w:rsid w:val="00F871DC"/>
    <w:rsid w:val="00F96E47"/>
    <w:rsid w:val="00F97C94"/>
    <w:rsid w:val="00FA2935"/>
    <w:rsid w:val="00FA76B2"/>
    <w:rsid w:val="00FB1053"/>
    <w:rsid w:val="00FB25E5"/>
    <w:rsid w:val="00FC6A56"/>
    <w:rsid w:val="00FD1E4B"/>
    <w:rsid w:val="00FD3800"/>
    <w:rsid w:val="00FE27E6"/>
    <w:rsid w:val="00FF1187"/>
    <w:rsid w:val="00FF363A"/>
  </w:rsids>
  <m:mathPr>
    <m:mathFont m:val="Cambria Math"/>
    <m:brkBin m:val="before"/>
    <m:brkBinSub m:val="--"/>
    <m:smallFrac m:val="0"/>
    <m:dispDef/>
    <m:lMargin m:val="0"/>
    <m:rMargin m:val="0"/>
    <m:defJc m:val="centerGroup"/>
    <m:wrapIndent m:val="1440"/>
    <m:intLim m:val="subSup"/>
    <m:naryLim m:val="undOvr"/>
  </m:mathPr>
  <w:themeFontLang w:val="es-ES_trad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C1D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784"/>
    <w:pPr>
      <w:spacing w:after="12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Prrafodelista">
    <w:name w:val="List Paragraph"/>
    <w:basedOn w:val="Normal"/>
    <w:uiPriority w:val="34"/>
    <w:qFormat/>
    <w:rsid w:val="00986EA1"/>
    <w:pPr>
      <w:ind w:left="720"/>
      <w:contextualSpacing/>
    </w:pPr>
  </w:style>
  <w:style w:type="paragraph" w:styleId="Sinespaciado">
    <w:name w:val="No Spacing"/>
    <w:uiPriority w:val="1"/>
    <w:qFormat/>
    <w:rsid w:val="006F671F"/>
    <w:rPr>
      <w:sz w:val="22"/>
      <w:szCs w:val="22"/>
      <w:lang w:val="es-MX"/>
    </w:rPr>
  </w:style>
  <w:style w:type="paragraph" w:styleId="Textonotapie">
    <w:name w:val="footnote text"/>
    <w:basedOn w:val="Normal"/>
    <w:link w:val="TextonotapieCar"/>
    <w:uiPriority w:val="99"/>
    <w:unhideWhenUsed/>
    <w:rsid w:val="001B4784"/>
    <w:pPr>
      <w:spacing w:after="0"/>
      <w:jc w:val="both"/>
    </w:pPr>
    <w:rPr>
      <w:sz w:val="20"/>
      <w:szCs w:val="20"/>
      <w:lang w:val="es-MX"/>
    </w:rPr>
  </w:style>
  <w:style w:type="character" w:customStyle="1" w:styleId="TextonotapieCar">
    <w:name w:val="Texto nota pie Car"/>
    <w:basedOn w:val="Fuentedeprrafopredeter"/>
    <w:link w:val="Textonotapie"/>
    <w:uiPriority w:val="99"/>
    <w:rsid w:val="001B4784"/>
    <w:rPr>
      <w:sz w:val="20"/>
      <w:szCs w:val="20"/>
      <w:lang w:val="es-MX"/>
    </w:rPr>
  </w:style>
  <w:style w:type="character" w:styleId="Refdenotaalpie">
    <w:name w:val="footnote reference"/>
    <w:basedOn w:val="Fuentedeprrafopredeter"/>
    <w:uiPriority w:val="99"/>
    <w:semiHidden/>
    <w:unhideWhenUsed/>
    <w:rsid w:val="006F671F"/>
    <w:rPr>
      <w:vertAlign w:val="superscript"/>
    </w:rPr>
  </w:style>
  <w:style w:type="character" w:styleId="nfasis">
    <w:name w:val="Emphasis"/>
    <w:basedOn w:val="Fuentedeprrafopredeter"/>
    <w:uiPriority w:val="20"/>
    <w:qFormat/>
    <w:rsid w:val="008F7C79"/>
    <w:rPr>
      <w:i/>
      <w:iCs/>
    </w:rPr>
  </w:style>
  <w:style w:type="character" w:styleId="Hipervnculo">
    <w:name w:val="Hyperlink"/>
    <w:basedOn w:val="Fuentedeprrafopredeter"/>
    <w:uiPriority w:val="99"/>
    <w:unhideWhenUsed/>
    <w:rsid w:val="008F7C7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784"/>
    <w:pPr>
      <w:spacing w:after="12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Prrafodelista">
    <w:name w:val="List Paragraph"/>
    <w:basedOn w:val="Normal"/>
    <w:uiPriority w:val="34"/>
    <w:qFormat/>
    <w:rsid w:val="00986EA1"/>
    <w:pPr>
      <w:ind w:left="720"/>
      <w:contextualSpacing/>
    </w:pPr>
  </w:style>
  <w:style w:type="paragraph" w:styleId="Sinespaciado">
    <w:name w:val="No Spacing"/>
    <w:uiPriority w:val="1"/>
    <w:qFormat/>
    <w:rsid w:val="006F671F"/>
    <w:rPr>
      <w:sz w:val="22"/>
      <w:szCs w:val="22"/>
      <w:lang w:val="es-MX"/>
    </w:rPr>
  </w:style>
  <w:style w:type="paragraph" w:styleId="Textonotapie">
    <w:name w:val="footnote text"/>
    <w:basedOn w:val="Normal"/>
    <w:link w:val="TextonotapieCar"/>
    <w:uiPriority w:val="99"/>
    <w:unhideWhenUsed/>
    <w:rsid w:val="001B4784"/>
    <w:pPr>
      <w:spacing w:after="0"/>
      <w:jc w:val="both"/>
    </w:pPr>
    <w:rPr>
      <w:sz w:val="20"/>
      <w:szCs w:val="20"/>
      <w:lang w:val="es-MX"/>
    </w:rPr>
  </w:style>
  <w:style w:type="character" w:customStyle="1" w:styleId="TextonotapieCar">
    <w:name w:val="Texto nota pie Car"/>
    <w:basedOn w:val="Fuentedeprrafopredeter"/>
    <w:link w:val="Textonotapie"/>
    <w:uiPriority w:val="99"/>
    <w:rsid w:val="001B4784"/>
    <w:rPr>
      <w:sz w:val="20"/>
      <w:szCs w:val="20"/>
      <w:lang w:val="es-MX"/>
    </w:rPr>
  </w:style>
  <w:style w:type="character" w:styleId="Refdenotaalpie">
    <w:name w:val="footnote reference"/>
    <w:basedOn w:val="Fuentedeprrafopredeter"/>
    <w:uiPriority w:val="99"/>
    <w:semiHidden/>
    <w:unhideWhenUsed/>
    <w:rsid w:val="006F671F"/>
    <w:rPr>
      <w:vertAlign w:val="superscript"/>
    </w:rPr>
  </w:style>
  <w:style w:type="character" w:styleId="nfasis">
    <w:name w:val="Emphasis"/>
    <w:basedOn w:val="Fuentedeprrafopredeter"/>
    <w:uiPriority w:val="20"/>
    <w:qFormat/>
    <w:rsid w:val="008F7C79"/>
    <w:rPr>
      <w:i/>
      <w:iCs/>
    </w:rPr>
  </w:style>
  <w:style w:type="character" w:styleId="Hipervnculo">
    <w:name w:val="Hyperlink"/>
    <w:basedOn w:val="Fuentedeprrafopredeter"/>
    <w:uiPriority w:val="99"/>
    <w:unhideWhenUsed/>
    <w:rsid w:val="008F7C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818902">
      <w:bodyDiv w:val="1"/>
      <w:marLeft w:val="0"/>
      <w:marRight w:val="0"/>
      <w:marTop w:val="0"/>
      <w:marBottom w:val="0"/>
      <w:divBdr>
        <w:top w:val="none" w:sz="0" w:space="0" w:color="auto"/>
        <w:left w:val="none" w:sz="0" w:space="0" w:color="auto"/>
        <w:bottom w:val="none" w:sz="0" w:space="0" w:color="auto"/>
        <w:right w:val="none" w:sz="0" w:space="0" w:color="auto"/>
      </w:divBdr>
      <w:divsChild>
        <w:div w:id="1368916080">
          <w:marLeft w:val="0"/>
          <w:marRight w:val="0"/>
          <w:marTop w:val="0"/>
          <w:marBottom w:val="0"/>
          <w:divBdr>
            <w:top w:val="none" w:sz="0" w:space="0" w:color="auto"/>
            <w:left w:val="none" w:sz="0" w:space="0" w:color="auto"/>
            <w:bottom w:val="none" w:sz="0" w:space="0" w:color="auto"/>
            <w:right w:val="none" w:sz="0" w:space="0" w:color="auto"/>
          </w:divBdr>
        </w:div>
        <w:div w:id="1456288209">
          <w:marLeft w:val="0"/>
          <w:marRight w:val="0"/>
          <w:marTop w:val="0"/>
          <w:marBottom w:val="0"/>
          <w:divBdr>
            <w:top w:val="none" w:sz="0" w:space="0" w:color="auto"/>
            <w:left w:val="none" w:sz="0" w:space="0" w:color="auto"/>
            <w:bottom w:val="none" w:sz="0" w:space="0" w:color="auto"/>
            <w:right w:val="none" w:sz="0" w:space="0" w:color="auto"/>
          </w:divBdr>
        </w:div>
        <w:div w:id="992878755">
          <w:marLeft w:val="0"/>
          <w:marRight w:val="0"/>
          <w:marTop w:val="0"/>
          <w:marBottom w:val="0"/>
          <w:divBdr>
            <w:top w:val="none" w:sz="0" w:space="0" w:color="auto"/>
            <w:left w:val="none" w:sz="0" w:space="0" w:color="auto"/>
            <w:bottom w:val="none" w:sz="0" w:space="0" w:color="auto"/>
            <w:right w:val="none" w:sz="0" w:space="0" w:color="auto"/>
          </w:divBdr>
        </w:div>
        <w:div w:id="522599316">
          <w:marLeft w:val="0"/>
          <w:marRight w:val="0"/>
          <w:marTop w:val="0"/>
          <w:marBottom w:val="0"/>
          <w:divBdr>
            <w:top w:val="none" w:sz="0" w:space="0" w:color="auto"/>
            <w:left w:val="none" w:sz="0" w:space="0" w:color="auto"/>
            <w:bottom w:val="none" w:sz="0" w:space="0" w:color="auto"/>
            <w:right w:val="none" w:sz="0" w:space="0" w:color="auto"/>
          </w:divBdr>
        </w:div>
        <w:div w:id="851995078">
          <w:marLeft w:val="0"/>
          <w:marRight w:val="0"/>
          <w:marTop w:val="0"/>
          <w:marBottom w:val="0"/>
          <w:divBdr>
            <w:top w:val="none" w:sz="0" w:space="0" w:color="auto"/>
            <w:left w:val="none" w:sz="0" w:space="0" w:color="auto"/>
            <w:bottom w:val="none" w:sz="0" w:space="0" w:color="auto"/>
            <w:right w:val="none" w:sz="0" w:space="0" w:color="auto"/>
          </w:divBdr>
        </w:div>
        <w:div w:id="1771848426">
          <w:marLeft w:val="0"/>
          <w:marRight w:val="0"/>
          <w:marTop w:val="0"/>
          <w:marBottom w:val="0"/>
          <w:divBdr>
            <w:top w:val="none" w:sz="0" w:space="0" w:color="auto"/>
            <w:left w:val="none" w:sz="0" w:space="0" w:color="auto"/>
            <w:bottom w:val="none" w:sz="0" w:space="0" w:color="auto"/>
            <w:right w:val="none" w:sz="0" w:space="0" w:color="auto"/>
          </w:divBdr>
        </w:div>
        <w:div w:id="640888313">
          <w:marLeft w:val="0"/>
          <w:marRight w:val="0"/>
          <w:marTop w:val="0"/>
          <w:marBottom w:val="0"/>
          <w:divBdr>
            <w:top w:val="none" w:sz="0" w:space="0" w:color="auto"/>
            <w:left w:val="none" w:sz="0" w:space="0" w:color="auto"/>
            <w:bottom w:val="none" w:sz="0" w:space="0" w:color="auto"/>
            <w:right w:val="none" w:sz="0" w:space="0" w:color="auto"/>
          </w:divBdr>
        </w:div>
        <w:div w:id="1161897002">
          <w:marLeft w:val="0"/>
          <w:marRight w:val="0"/>
          <w:marTop w:val="0"/>
          <w:marBottom w:val="0"/>
          <w:divBdr>
            <w:top w:val="none" w:sz="0" w:space="0" w:color="auto"/>
            <w:left w:val="none" w:sz="0" w:space="0" w:color="auto"/>
            <w:bottom w:val="none" w:sz="0" w:space="0" w:color="auto"/>
            <w:right w:val="none" w:sz="0" w:space="0" w:color="auto"/>
          </w:divBdr>
        </w:div>
        <w:div w:id="2094276753">
          <w:marLeft w:val="0"/>
          <w:marRight w:val="0"/>
          <w:marTop w:val="0"/>
          <w:marBottom w:val="0"/>
          <w:divBdr>
            <w:top w:val="none" w:sz="0" w:space="0" w:color="auto"/>
            <w:left w:val="none" w:sz="0" w:space="0" w:color="auto"/>
            <w:bottom w:val="none" w:sz="0" w:space="0" w:color="auto"/>
            <w:right w:val="none" w:sz="0" w:space="0" w:color="auto"/>
          </w:divBdr>
        </w:div>
        <w:div w:id="1642925097">
          <w:marLeft w:val="0"/>
          <w:marRight w:val="0"/>
          <w:marTop w:val="0"/>
          <w:marBottom w:val="0"/>
          <w:divBdr>
            <w:top w:val="none" w:sz="0" w:space="0" w:color="auto"/>
            <w:left w:val="none" w:sz="0" w:space="0" w:color="auto"/>
            <w:bottom w:val="none" w:sz="0" w:space="0" w:color="auto"/>
            <w:right w:val="none" w:sz="0" w:space="0" w:color="auto"/>
          </w:divBdr>
        </w:div>
        <w:div w:id="322781173">
          <w:marLeft w:val="0"/>
          <w:marRight w:val="0"/>
          <w:marTop w:val="0"/>
          <w:marBottom w:val="0"/>
          <w:divBdr>
            <w:top w:val="none" w:sz="0" w:space="0" w:color="auto"/>
            <w:left w:val="none" w:sz="0" w:space="0" w:color="auto"/>
            <w:bottom w:val="none" w:sz="0" w:space="0" w:color="auto"/>
            <w:right w:val="none" w:sz="0" w:space="0" w:color="auto"/>
          </w:divBdr>
        </w:div>
        <w:div w:id="695811526">
          <w:marLeft w:val="0"/>
          <w:marRight w:val="0"/>
          <w:marTop w:val="0"/>
          <w:marBottom w:val="0"/>
          <w:divBdr>
            <w:top w:val="none" w:sz="0" w:space="0" w:color="auto"/>
            <w:left w:val="none" w:sz="0" w:space="0" w:color="auto"/>
            <w:bottom w:val="none" w:sz="0" w:space="0" w:color="auto"/>
            <w:right w:val="none" w:sz="0" w:space="0" w:color="auto"/>
          </w:divBdr>
        </w:div>
        <w:div w:id="1679039073">
          <w:marLeft w:val="0"/>
          <w:marRight w:val="0"/>
          <w:marTop w:val="0"/>
          <w:marBottom w:val="0"/>
          <w:divBdr>
            <w:top w:val="none" w:sz="0" w:space="0" w:color="auto"/>
            <w:left w:val="none" w:sz="0" w:space="0" w:color="auto"/>
            <w:bottom w:val="none" w:sz="0" w:space="0" w:color="auto"/>
            <w:right w:val="none" w:sz="0" w:space="0" w:color="auto"/>
          </w:divBdr>
        </w:div>
        <w:div w:id="2031107044">
          <w:marLeft w:val="0"/>
          <w:marRight w:val="0"/>
          <w:marTop w:val="0"/>
          <w:marBottom w:val="0"/>
          <w:divBdr>
            <w:top w:val="none" w:sz="0" w:space="0" w:color="auto"/>
            <w:left w:val="none" w:sz="0" w:space="0" w:color="auto"/>
            <w:bottom w:val="none" w:sz="0" w:space="0" w:color="auto"/>
            <w:right w:val="none" w:sz="0" w:space="0" w:color="auto"/>
          </w:divBdr>
        </w:div>
        <w:div w:id="635650111">
          <w:marLeft w:val="0"/>
          <w:marRight w:val="0"/>
          <w:marTop w:val="0"/>
          <w:marBottom w:val="0"/>
          <w:divBdr>
            <w:top w:val="none" w:sz="0" w:space="0" w:color="auto"/>
            <w:left w:val="none" w:sz="0" w:space="0" w:color="auto"/>
            <w:bottom w:val="none" w:sz="0" w:space="0" w:color="auto"/>
            <w:right w:val="none" w:sz="0" w:space="0" w:color="auto"/>
          </w:divBdr>
        </w:div>
        <w:div w:id="1168129183">
          <w:marLeft w:val="0"/>
          <w:marRight w:val="0"/>
          <w:marTop w:val="0"/>
          <w:marBottom w:val="0"/>
          <w:divBdr>
            <w:top w:val="none" w:sz="0" w:space="0" w:color="auto"/>
            <w:left w:val="none" w:sz="0" w:space="0" w:color="auto"/>
            <w:bottom w:val="none" w:sz="0" w:space="0" w:color="auto"/>
            <w:right w:val="none" w:sz="0" w:space="0" w:color="auto"/>
          </w:divBdr>
        </w:div>
        <w:div w:id="704452367">
          <w:marLeft w:val="0"/>
          <w:marRight w:val="0"/>
          <w:marTop w:val="0"/>
          <w:marBottom w:val="0"/>
          <w:divBdr>
            <w:top w:val="none" w:sz="0" w:space="0" w:color="auto"/>
            <w:left w:val="none" w:sz="0" w:space="0" w:color="auto"/>
            <w:bottom w:val="none" w:sz="0" w:space="0" w:color="auto"/>
            <w:right w:val="none" w:sz="0" w:space="0" w:color="auto"/>
          </w:divBdr>
        </w:div>
        <w:div w:id="862597938">
          <w:marLeft w:val="0"/>
          <w:marRight w:val="0"/>
          <w:marTop w:val="0"/>
          <w:marBottom w:val="0"/>
          <w:divBdr>
            <w:top w:val="none" w:sz="0" w:space="0" w:color="auto"/>
            <w:left w:val="none" w:sz="0" w:space="0" w:color="auto"/>
            <w:bottom w:val="none" w:sz="0" w:space="0" w:color="auto"/>
            <w:right w:val="none" w:sz="0" w:space="0" w:color="auto"/>
          </w:divBdr>
        </w:div>
        <w:div w:id="184026440">
          <w:marLeft w:val="0"/>
          <w:marRight w:val="0"/>
          <w:marTop w:val="0"/>
          <w:marBottom w:val="0"/>
          <w:divBdr>
            <w:top w:val="none" w:sz="0" w:space="0" w:color="auto"/>
            <w:left w:val="none" w:sz="0" w:space="0" w:color="auto"/>
            <w:bottom w:val="none" w:sz="0" w:space="0" w:color="auto"/>
            <w:right w:val="none" w:sz="0" w:space="0" w:color="auto"/>
          </w:divBdr>
        </w:div>
        <w:div w:id="874317982">
          <w:marLeft w:val="0"/>
          <w:marRight w:val="0"/>
          <w:marTop w:val="0"/>
          <w:marBottom w:val="0"/>
          <w:divBdr>
            <w:top w:val="none" w:sz="0" w:space="0" w:color="auto"/>
            <w:left w:val="none" w:sz="0" w:space="0" w:color="auto"/>
            <w:bottom w:val="none" w:sz="0" w:space="0" w:color="auto"/>
            <w:right w:val="none" w:sz="0" w:space="0" w:color="auto"/>
          </w:divBdr>
        </w:div>
        <w:div w:id="356198247">
          <w:marLeft w:val="0"/>
          <w:marRight w:val="0"/>
          <w:marTop w:val="0"/>
          <w:marBottom w:val="0"/>
          <w:divBdr>
            <w:top w:val="none" w:sz="0" w:space="0" w:color="auto"/>
            <w:left w:val="none" w:sz="0" w:space="0" w:color="auto"/>
            <w:bottom w:val="none" w:sz="0" w:space="0" w:color="auto"/>
            <w:right w:val="none" w:sz="0" w:space="0" w:color="auto"/>
          </w:divBdr>
        </w:div>
        <w:div w:id="866215876">
          <w:marLeft w:val="0"/>
          <w:marRight w:val="0"/>
          <w:marTop w:val="0"/>
          <w:marBottom w:val="0"/>
          <w:divBdr>
            <w:top w:val="none" w:sz="0" w:space="0" w:color="auto"/>
            <w:left w:val="none" w:sz="0" w:space="0" w:color="auto"/>
            <w:bottom w:val="none" w:sz="0" w:space="0" w:color="auto"/>
            <w:right w:val="none" w:sz="0" w:space="0" w:color="auto"/>
          </w:divBdr>
        </w:div>
        <w:div w:id="1783498725">
          <w:marLeft w:val="0"/>
          <w:marRight w:val="0"/>
          <w:marTop w:val="0"/>
          <w:marBottom w:val="0"/>
          <w:divBdr>
            <w:top w:val="none" w:sz="0" w:space="0" w:color="auto"/>
            <w:left w:val="none" w:sz="0" w:space="0" w:color="auto"/>
            <w:bottom w:val="none" w:sz="0" w:space="0" w:color="auto"/>
            <w:right w:val="none" w:sz="0" w:space="0" w:color="auto"/>
          </w:divBdr>
        </w:div>
        <w:div w:id="1529835593">
          <w:marLeft w:val="0"/>
          <w:marRight w:val="0"/>
          <w:marTop w:val="0"/>
          <w:marBottom w:val="0"/>
          <w:divBdr>
            <w:top w:val="none" w:sz="0" w:space="0" w:color="auto"/>
            <w:left w:val="none" w:sz="0" w:space="0" w:color="auto"/>
            <w:bottom w:val="none" w:sz="0" w:space="0" w:color="auto"/>
            <w:right w:val="none" w:sz="0" w:space="0" w:color="auto"/>
          </w:divBdr>
        </w:div>
        <w:div w:id="1337610099">
          <w:marLeft w:val="0"/>
          <w:marRight w:val="0"/>
          <w:marTop w:val="0"/>
          <w:marBottom w:val="0"/>
          <w:divBdr>
            <w:top w:val="none" w:sz="0" w:space="0" w:color="auto"/>
            <w:left w:val="none" w:sz="0" w:space="0" w:color="auto"/>
            <w:bottom w:val="none" w:sz="0" w:space="0" w:color="auto"/>
            <w:right w:val="none" w:sz="0" w:space="0" w:color="auto"/>
          </w:divBdr>
        </w:div>
        <w:div w:id="457917041">
          <w:marLeft w:val="0"/>
          <w:marRight w:val="0"/>
          <w:marTop w:val="0"/>
          <w:marBottom w:val="0"/>
          <w:divBdr>
            <w:top w:val="none" w:sz="0" w:space="0" w:color="auto"/>
            <w:left w:val="none" w:sz="0" w:space="0" w:color="auto"/>
            <w:bottom w:val="none" w:sz="0" w:space="0" w:color="auto"/>
            <w:right w:val="none" w:sz="0" w:space="0" w:color="auto"/>
          </w:divBdr>
        </w:div>
        <w:div w:id="127743793">
          <w:marLeft w:val="0"/>
          <w:marRight w:val="0"/>
          <w:marTop w:val="0"/>
          <w:marBottom w:val="0"/>
          <w:divBdr>
            <w:top w:val="none" w:sz="0" w:space="0" w:color="auto"/>
            <w:left w:val="none" w:sz="0" w:space="0" w:color="auto"/>
            <w:bottom w:val="none" w:sz="0" w:space="0" w:color="auto"/>
            <w:right w:val="none" w:sz="0" w:space="0" w:color="auto"/>
          </w:divBdr>
        </w:div>
        <w:div w:id="1755083189">
          <w:marLeft w:val="0"/>
          <w:marRight w:val="0"/>
          <w:marTop w:val="0"/>
          <w:marBottom w:val="0"/>
          <w:divBdr>
            <w:top w:val="none" w:sz="0" w:space="0" w:color="auto"/>
            <w:left w:val="none" w:sz="0" w:space="0" w:color="auto"/>
            <w:bottom w:val="none" w:sz="0" w:space="0" w:color="auto"/>
            <w:right w:val="none" w:sz="0" w:space="0" w:color="auto"/>
          </w:divBdr>
        </w:div>
        <w:div w:id="1175464278">
          <w:marLeft w:val="0"/>
          <w:marRight w:val="0"/>
          <w:marTop w:val="0"/>
          <w:marBottom w:val="0"/>
          <w:divBdr>
            <w:top w:val="none" w:sz="0" w:space="0" w:color="auto"/>
            <w:left w:val="none" w:sz="0" w:space="0" w:color="auto"/>
            <w:bottom w:val="none" w:sz="0" w:space="0" w:color="auto"/>
            <w:right w:val="none" w:sz="0" w:space="0" w:color="auto"/>
          </w:divBdr>
        </w:div>
        <w:div w:id="1441291951">
          <w:marLeft w:val="0"/>
          <w:marRight w:val="0"/>
          <w:marTop w:val="0"/>
          <w:marBottom w:val="0"/>
          <w:divBdr>
            <w:top w:val="none" w:sz="0" w:space="0" w:color="auto"/>
            <w:left w:val="none" w:sz="0" w:space="0" w:color="auto"/>
            <w:bottom w:val="none" w:sz="0" w:space="0" w:color="auto"/>
            <w:right w:val="none" w:sz="0" w:space="0" w:color="auto"/>
          </w:divBdr>
        </w:div>
        <w:div w:id="1966040427">
          <w:marLeft w:val="0"/>
          <w:marRight w:val="0"/>
          <w:marTop w:val="0"/>
          <w:marBottom w:val="0"/>
          <w:divBdr>
            <w:top w:val="none" w:sz="0" w:space="0" w:color="auto"/>
            <w:left w:val="none" w:sz="0" w:space="0" w:color="auto"/>
            <w:bottom w:val="none" w:sz="0" w:space="0" w:color="auto"/>
            <w:right w:val="none" w:sz="0" w:space="0" w:color="auto"/>
          </w:divBdr>
        </w:div>
        <w:div w:id="1744336263">
          <w:marLeft w:val="0"/>
          <w:marRight w:val="0"/>
          <w:marTop w:val="0"/>
          <w:marBottom w:val="0"/>
          <w:divBdr>
            <w:top w:val="none" w:sz="0" w:space="0" w:color="auto"/>
            <w:left w:val="none" w:sz="0" w:space="0" w:color="auto"/>
            <w:bottom w:val="none" w:sz="0" w:space="0" w:color="auto"/>
            <w:right w:val="none" w:sz="0" w:space="0" w:color="auto"/>
          </w:divBdr>
        </w:div>
        <w:div w:id="1807428933">
          <w:marLeft w:val="0"/>
          <w:marRight w:val="0"/>
          <w:marTop w:val="0"/>
          <w:marBottom w:val="0"/>
          <w:divBdr>
            <w:top w:val="none" w:sz="0" w:space="0" w:color="auto"/>
            <w:left w:val="none" w:sz="0" w:space="0" w:color="auto"/>
            <w:bottom w:val="none" w:sz="0" w:space="0" w:color="auto"/>
            <w:right w:val="none" w:sz="0" w:space="0" w:color="auto"/>
          </w:divBdr>
        </w:div>
        <w:div w:id="1191063492">
          <w:marLeft w:val="0"/>
          <w:marRight w:val="0"/>
          <w:marTop w:val="0"/>
          <w:marBottom w:val="0"/>
          <w:divBdr>
            <w:top w:val="none" w:sz="0" w:space="0" w:color="auto"/>
            <w:left w:val="none" w:sz="0" w:space="0" w:color="auto"/>
            <w:bottom w:val="none" w:sz="0" w:space="0" w:color="auto"/>
            <w:right w:val="none" w:sz="0" w:space="0" w:color="auto"/>
          </w:divBdr>
        </w:div>
        <w:div w:id="225141297">
          <w:marLeft w:val="0"/>
          <w:marRight w:val="0"/>
          <w:marTop w:val="0"/>
          <w:marBottom w:val="0"/>
          <w:divBdr>
            <w:top w:val="none" w:sz="0" w:space="0" w:color="auto"/>
            <w:left w:val="none" w:sz="0" w:space="0" w:color="auto"/>
            <w:bottom w:val="none" w:sz="0" w:space="0" w:color="auto"/>
            <w:right w:val="none" w:sz="0" w:space="0" w:color="auto"/>
          </w:divBdr>
        </w:div>
        <w:div w:id="462697206">
          <w:marLeft w:val="0"/>
          <w:marRight w:val="0"/>
          <w:marTop w:val="0"/>
          <w:marBottom w:val="0"/>
          <w:divBdr>
            <w:top w:val="none" w:sz="0" w:space="0" w:color="auto"/>
            <w:left w:val="none" w:sz="0" w:space="0" w:color="auto"/>
            <w:bottom w:val="none" w:sz="0" w:space="0" w:color="auto"/>
            <w:right w:val="none" w:sz="0" w:space="0" w:color="auto"/>
          </w:divBdr>
        </w:div>
        <w:div w:id="345323945">
          <w:marLeft w:val="0"/>
          <w:marRight w:val="0"/>
          <w:marTop w:val="0"/>
          <w:marBottom w:val="0"/>
          <w:divBdr>
            <w:top w:val="none" w:sz="0" w:space="0" w:color="auto"/>
            <w:left w:val="none" w:sz="0" w:space="0" w:color="auto"/>
            <w:bottom w:val="none" w:sz="0" w:space="0" w:color="auto"/>
            <w:right w:val="none" w:sz="0" w:space="0" w:color="auto"/>
          </w:divBdr>
        </w:div>
      </w:divsChild>
    </w:div>
    <w:div w:id="19972953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B1D55-0B13-4CBE-8901-1697524F4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845</Words>
  <Characters>4650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ee ss</cp:lastModifiedBy>
  <cp:revision>3</cp:revision>
  <cp:lastPrinted>2022-07-06T02:55:00Z</cp:lastPrinted>
  <dcterms:created xsi:type="dcterms:W3CDTF">2022-07-06T02:48:00Z</dcterms:created>
  <dcterms:modified xsi:type="dcterms:W3CDTF">2022-07-06T02:56:00Z</dcterms:modified>
</cp:coreProperties>
</file>