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A788" w14:textId="4DB6DF02" w:rsidR="00BD5D48" w:rsidRDefault="006F7DFF" w:rsidP="002C7FE5">
      <w:pPr>
        <w:jc w:val="center"/>
        <w:rPr>
          <w:lang w:val="es-MX"/>
        </w:rPr>
      </w:pPr>
      <w:r w:rsidRPr="002140DA">
        <w:rPr>
          <w:b/>
          <w:noProof/>
          <w:sz w:val="20"/>
          <w:szCs w:val="20"/>
        </w:rPr>
        <w:drawing>
          <wp:anchor distT="0" distB="0" distL="114300" distR="114300" simplePos="0" relativeHeight="251659264" behindDoc="1" locked="0" layoutInCell="1" allowOverlap="1" wp14:anchorId="247A1AD3" wp14:editId="7B63C6AC">
            <wp:simplePos x="0" y="0"/>
            <wp:positionH relativeFrom="column">
              <wp:posOffset>53340</wp:posOffset>
            </wp:positionH>
            <wp:positionV relativeFrom="paragraph">
              <wp:posOffset>482600</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173E22">
        <w:rPr>
          <w:b/>
          <w:lang w:val="es-MX"/>
        </w:rPr>
        <w:t>Sábado</w:t>
      </w:r>
      <w:r w:rsidR="007B3F80">
        <w:rPr>
          <w:b/>
          <w:lang w:val="es-MX"/>
        </w:rPr>
        <w:t xml:space="preserve"> XXVII</w:t>
      </w:r>
      <w:r w:rsidR="00384ADD">
        <w:rPr>
          <w:b/>
          <w:lang w:val="es-MX"/>
        </w:rPr>
        <w:t xml:space="preserve"> del TO</w:t>
      </w:r>
      <w:r w:rsidR="00384ADD">
        <w:rPr>
          <w:b/>
          <w:lang w:val="es-MX"/>
        </w:rPr>
        <w:br/>
        <w:t xml:space="preserve">Ciclo </w:t>
      </w:r>
      <w:r w:rsidR="0088212E">
        <w:rPr>
          <w:b/>
          <w:lang w:val="es-MX"/>
        </w:rPr>
        <w:t>C</w:t>
      </w:r>
      <w:r w:rsidR="0038224F">
        <w:rPr>
          <w:b/>
          <w:lang w:val="es-MX"/>
        </w:rPr>
        <w:br/>
      </w:r>
    </w:p>
    <w:p w14:paraId="7191D2A2" w14:textId="7A0836EB" w:rsidR="00384ADD" w:rsidRDefault="0088212E" w:rsidP="00605258">
      <w:pPr>
        <w:jc w:val="right"/>
        <w:rPr>
          <w:sz w:val="20"/>
          <w:szCs w:val="20"/>
          <w:lang w:val="es-MX"/>
        </w:rPr>
      </w:pPr>
      <w:r>
        <w:rPr>
          <w:lang w:val="es-MX"/>
        </w:rPr>
        <w:t>8</w:t>
      </w:r>
      <w:r w:rsidR="00890FC1">
        <w:rPr>
          <w:lang w:val="es-MX"/>
        </w:rPr>
        <w:t xml:space="preserve"> de octubre</w:t>
      </w:r>
      <w:r w:rsidR="00605258" w:rsidRPr="00605258">
        <w:rPr>
          <w:lang w:val="es-MX"/>
        </w:rPr>
        <w:t xml:space="preserve"> de 20</w:t>
      </w:r>
      <w:r>
        <w:rPr>
          <w:lang w:val="es-MX"/>
        </w:rPr>
        <w:t>22</w:t>
      </w:r>
      <w:r w:rsidR="00605258">
        <w:rPr>
          <w:lang w:val="es-MX"/>
        </w:rPr>
        <w:br/>
      </w:r>
      <w:r>
        <w:rPr>
          <w:sz w:val="20"/>
          <w:szCs w:val="20"/>
          <w:lang w:val="es-MX"/>
        </w:rPr>
        <w:t>Gal 3, 21-29</w:t>
      </w:r>
      <w:r w:rsidR="00605258" w:rsidRPr="00605258">
        <w:rPr>
          <w:sz w:val="20"/>
          <w:szCs w:val="20"/>
          <w:lang w:val="es-MX"/>
        </w:rPr>
        <w:br/>
      </w:r>
      <w:r>
        <w:rPr>
          <w:sz w:val="20"/>
          <w:szCs w:val="20"/>
          <w:lang w:val="es-MX"/>
        </w:rPr>
        <w:t>Sal 104</w:t>
      </w:r>
    </w:p>
    <w:p w14:paraId="18C64EBA" w14:textId="7D845337" w:rsidR="00F871DC" w:rsidRPr="00890FC1" w:rsidRDefault="00460DF9" w:rsidP="00605258">
      <w:pPr>
        <w:jc w:val="right"/>
        <w:rPr>
          <w:lang w:val="es-ES"/>
        </w:rPr>
      </w:pPr>
      <w:r w:rsidRPr="00890FC1">
        <w:rPr>
          <w:sz w:val="20"/>
          <w:szCs w:val="20"/>
          <w:lang w:val="es-ES"/>
        </w:rPr>
        <w:t xml:space="preserve">Lc </w:t>
      </w:r>
      <w:r w:rsidR="006B73E9">
        <w:rPr>
          <w:sz w:val="20"/>
          <w:szCs w:val="20"/>
          <w:lang w:val="es-ES"/>
        </w:rPr>
        <w:t xml:space="preserve">11, </w:t>
      </w:r>
      <w:r w:rsidR="00173E22">
        <w:rPr>
          <w:sz w:val="20"/>
          <w:szCs w:val="20"/>
          <w:lang w:val="es-ES"/>
        </w:rPr>
        <w:t>27-28</w:t>
      </w:r>
    </w:p>
    <w:p w14:paraId="0AC7060C" w14:textId="77777777" w:rsidR="00F871DC" w:rsidRPr="00890FC1" w:rsidRDefault="00F871DC" w:rsidP="00F871DC">
      <w:pPr>
        <w:jc w:val="right"/>
        <w:rPr>
          <w:i/>
          <w:sz w:val="20"/>
          <w:szCs w:val="20"/>
          <w:lang w:val="es-ES"/>
        </w:rPr>
      </w:pPr>
      <w:r w:rsidRPr="00890FC1">
        <w:rPr>
          <w:i/>
          <w:sz w:val="20"/>
          <w:szCs w:val="20"/>
          <w:lang w:val="es-ES"/>
        </w:rPr>
        <w:t>P. Eduardo Suanzes, msps</w:t>
      </w:r>
    </w:p>
    <w:p w14:paraId="49F9E64C" w14:textId="77777777" w:rsidR="00106D34" w:rsidRDefault="00106D34" w:rsidP="00EA5C24">
      <w:pPr>
        <w:jc w:val="both"/>
        <w:rPr>
          <w:lang w:val="es-ES"/>
        </w:rPr>
      </w:pPr>
    </w:p>
    <w:p w14:paraId="23C185CB" w14:textId="669AFC3F" w:rsidR="00106D34" w:rsidRDefault="00106D34" w:rsidP="00EA5C24">
      <w:pPr>
        <w:jc w:val="both"/>
      </w:pPr>
      <w:r>
        <w:t xml:space="preserve">En el Evangelio, ya Lucas había retratado, en los relatos de la infancia de Jesús, a María, </w:t>
      </w:r>
      <w:r w:rsidR="007E2644">
        <w:t>su</w:t>
      </w:r>
      <w:r>
        <w:t xml:space="preserve"> madre</w:t>
      </w:r>
      <w:r w:rsidR="007E2644">
        <w:t>,</w:t>
      </w:r>
      <w:r>
        <w:t xml:space="preserve"> con rasgos evocadores de un discípulo ideal. Ahora, cuando en este trozo que hemos leído hoy,</w:t>
      </w:r>
      <w:r w:rsidRPr="00106D34">
        <w:t xml:space="preserve"> entre el gentío, una mujer grita: </w:t>
      </w:r>
      <w:r w:rsidRPr="00106D34">
        <w:rPr>
          <w:rFonts w:ascii="Calibri" w:hAnsi="Calibri"/>
          <w:i/>
        </w:rPr>
        <w:t>«</w:t>
      </w:r>
      <w:r w:rsidRPr="00106D34">
        <w:rPr>
          <w:i/>
        </w:rPr>
        <w:t>¡Bienaventurado el vientre que te llevó y los pechos que te amamantaron!</w:t>
      </w:r>
      <w:r>
        <w:rPr>
          <w:rFonts w:ascii="Calibri" w:hAnsi="Calibri"/>
        </w:rPr>
        <w:t>»</w:t>
      </w:r>
      <w:r w:rsidRPr="00106D34">
        <w:t xml:space="preserve">, Jesús responde: </w:t>
      </w:r>
      <w:r>
        <w:rPr>
          <w:rFonts w:ascii="Calibri" w:hAnsi="Calibri"/>
        </w:rPr>
        <w:t>«</w:t>
      </w:r>
      <w:r w:rsidRPr="00106D34">
        <w:rPr>
          <w:i/>
        </w:rPr>
        <w:t>Bienaventurados más bien los que escuchan la palabra de Dios y la guardan</w:t>
      </w:r>
      <w:r>
        <w:rPr>
          <w:rFonts w:ascii="Calibri" w:hAnsi="Calibri"/>
        </w:rPr>
        <w:t>»</w:t>
      </w:r>
      <w:r w:rsidRPr="00106D34">
        <w:t xml:space="preserve">. </w:t>
      </w:r>
    </w:p>
    <w:p w14:paraId="0EB27E6A" w14:textId="77777777" w:rsidR="00106D34" w:rsidRDefault="00106D34" w:rsidP="00EA5C24">
      <w:pPr>
        <w:jc w:val="both"/>
      </w:pPr>
    </w:p>
    <w:p w14:paraId="70A86AD1" w14:textId="5A3C05AD" w:rsidR="00106D34" w:rsidRPr="0002356D" w:rsidRDefault="00106D34" w:rsidP="00EA5C24">
      <w:pPr>
        <w:jc w:val="both"/>
      </w:pPr>
      <w:r>
        <w:t>Rápidamente extraemos</w:t>
      </w:r>
      <w:r w:rsidR="007E2644">
        <w:t xml:space="preserve"> la conclusión de </w:t>
      </w:r>
      <w:r w:rsidR="0088212E">
        <w:t>que,</w:t>
      </w:r>
      <w:r>
        <w:t xml:space="preserve"> p</w:t>
      </w:r>
      <w:r w:rsidRPr="00106D34">
        <w:t xml:space="preserve">ara Lucas, </w:t>
      </w:r>
      <w:r w:rsidRPr="00106D34">
        <w:rPr>
          <w:b/>
          <w:i/>
        </w:rPr>
        <w:t>la escucha de la palabra precede e implica un «obrar» cristiano de un nuevo tipo</w:t>
      </w:r>
      <w:r>
        <w:t xml:space="preserve">. La liturgia ha traducido el verbo final por “la ponen en práctica”, pero el griego dice originalmente </w:t>
      </w:r>
      <w:r>
        <w:rPr>
          <w:rFonts w:ascii="Calibri" w:hAnsi="Calibri"/>
        </w:rPr>
        <w:t>«</w:t>
      </w:r>
      <w:r w:rsidRPr="00106D34">
        <w:rPr>
          <w:i/>
        </w:rPr>
        <w:t>la guardan</w:t>
      </w:r>
      <w:r>
        <w:rPr>
          <w:rFonts w:ascii="Calibri" w:hAnsi="Calibri"/>
        </w:rPr>
        <w:t>»</w:t>
      </w:r>
      <w:r w:rsidR="0002356D">
        <w:rPr>
          <w:rFonts w:ascii="Calibri" w:hAnsi="Calibri"/>
        </w:rPr>
        <w:t>.</w:t>
      </w:r>
      <w:r w:rsidRPr="00106D34">
        <w:t xml:space="preserve"> Guardar la palabra es hacerla crecer, hacerla producir, mantenerla viva. </w:t>
      </w:r>
      <w:r w:rsidR="0002356D">
        <w:t>Es decir, que aquí se está hablando de</w:t>
      </w:r>
      <w:r w:rsidRPr="00106D34">
        <w:t xml:space="preserve"> perseverancia</w:t>
      </w:r>
      <w:r w:rsidR="0002356D">
        <w:t xml:space="preserve"> y de que el</w:t>
      </w:r>
      <w:r w:rsidRPr="00106D34">
        <w:t xml:space="preserve"> complemento obligado de la fe</w:t>
      </w:r>
      <w:r w:rsidR="0002356D">
        <w:t xml:space="preserve"> es el </w:t>
      </w:r>
      <w:r w:rsidR="0002356D">
        <w:rPr>
          <w:rFonts w:ascii="Calibri" w:hAnsi="Calibri"/>
        </w:rPr>
        <w:t>«</w:t>
      </w:r>
      <w:r w:rsidR="0002356D">
        <w:t>guardar</w:t>
      </w:r>
      <w:r w:rsidR="0002356D">
        <w:rPr>
          <w:rFonts w:ascii="Calibri" w:hAnsi="Calibri"/>
        </w:rPr>
        <w:t>»</w:t>
      </w:r>
      <w:r w:rsidR="0002356D">
        <w:t xml:space="preserve"> la palabra en el sentido </w:t>
      </w:r>
      <w:r w:rsidR="002020D7">
        <w:t>de</w:t>
      </w:r>
      <w:r w:rsidR="007E2644">
        <w:t xml:space="preserve"> mantenerla viva, hacerla vida</w:t>
      </w:r>
      <w:r w:rsidRPr="00106D34">
        <w:t xml:space="preserve">. </w:t>
      </w:r>
      <w:r w:rsidR="007E2644">
        <w:t>En efecto, s</w:t>
      </w:r>
      <w:r w:rsidR="0002356D">
        <w:t>e trata</w:t>
      </w:r>
      <w:r w:rsidR="007E2644">
        <w:t xml:space="preserve"> para Lucas</w:t>
      </w:r>
      <w:r w:rsidR="0002356D">
        <w:t xml:space="preserve"> de hacer vida, es decir, de </w:t>
      </w:r>
      <w:r w:rsidR="0002356D">
        <w:rPr>
          <w:i/>
        </w:rPr>
        <w:t>encarnar la Palabra de Dios</w:t>
      </w:r>
      <w:r w:rsidR="0002356D">
        <w:t xml:space="preserve"> de una forma tan concreta como un embarazo o un alumbramiento</w:t>
      </w:r>
      <w:r w:rsidR="0002356D">
        <w:rPr>
          <w:rStyle w:val="Refdenotaalpie"/>
        </w:rPr>
        <w:footnoteReference w:id="1"/>
      </w:r>
      <w:r w:rsidR="0002356D">
        <w:t>.</w:t>
      </w:r>
      <w:r w:rsidR="007E2644">
        <w:t xml:space="preserve"> E</w:t>
      </w:r>
      <w:r w:rsidR="002020D7">
        <w:t>n</w:t>
      </w:r>
      <w:r w:rsidR="007E2644">
        <w:t xml:space="preserve"> un sentido teológico</w:t>
      </w:r>
      <w:r w:rsidR="002020D7">
        <w:t xml:space="preserve"> y espiritual,</w:t>
      </w:r>
      <w:r w:rsidR="007E2644">
        <w:t xml:space="preserve"> aplicado a nosotros mismos</w:t>
      </w:r>
      <w:r w:rsidR="002020D7">
        <w:t>,</w:t>
      </w:r>
      <w:r w:rsidR="007E2644">
        <w:t xml:space="preserve"> será lo que Juan en el Prólogo de su Evangelio hablando de Jesús dice: </w:t>
      </w:r>
      <w:r w:rsidR="007E2644">
        <w:rPr>
          <w:rFonts w:ascii="Calibri" w:hAnsi="Calibri"/>
        </w:rPr>
        <w:t>«</w:t>
      </w:r>
      <w:r w:rsidR="007E2644" w:rsidRPr="002020D7">
        <w:rPr>
          <w:i/>
        </w:rPr>
        <w:t>y la palabra se hizo carne</w:t>
      </w:r>
      <w:r w:rsidR="007E2644">
        <w:rPr>
          <w:rFonts w:ascii="Calibri" w:hAnsi="Calibri"/>
        </w:rPr>
        <w:t>».  Para Lucas, se trata ahora de que esa Palabra de Dios se haga carne en nuestra vida, se cristalice, se haga patente, en nosotros. Por tanto, la intención, además de Lucas en este episodio, es la de ponernos en guardia, advertirnos sobre nuestras disponibilidades personales frente a la realidad del Reino</w:t>
      </w:r>
      <w:r w:rsidR="007E2644">
        <w:rPr>
          <w:rStyle w:val="Refdenotaalpie"/>
          <w:rFonts w:ascii="Calibri" w:hAnsi="Calibri"/>
        </w:rPr>
        <w:footnoteReference w:id="2"/>
      </w:r>
      <w:r w:rsidR="007E2644">
        <w:rPr>
          <w:rFonts w:ascii="Calibri" w:hAnsi="Calibri"/>
        </w:rPr>
        <w:t>.</w:t>
      </w:r>
    </w:p>
    <w:p w14:paraId="2E790106" w14:textId="77777777" w:rsidR="00106D34" w:rsidRDefault="00106D34" w:rsidP="00EA5C24">
      <w:pPr>
        <w:jc w:val="both"/>
      </w:pPr>
    </w:p>
    <w:p w14:paraId="2EF39837" w14:textId="078A4990" w:rsidR="007E2644" w:rsidRDefault="00106D34" w:rsidP="00EA5C24">
      <w:pPr>
        <w:jc w:val="both"/>
      </w:pPr>
      <w:r>
        <w:t>Considerando, pues, toda la obra de Lucas</w:t>
      </w:r>
      <w:r w:rsidRPr="00106D34">
        <w:t xml:space="preserve">, en este dicho </w:t>
      </w:r>
      <w:r w:rsidR="007E2644">
        <w:t xml:space="preserve">que hemos escuchado, </w:t>
      </w:r>
      <w:r w:rsidRPr="00106D34">
        <w:t>se percibe una adecuada valoración -no un rechazo- de María. Su verdadera bienaventuranza no consiste simplemente en la conexión física con Jesús como su madre, sino en su actitud de alguien que escucha y obedece la palabra de Dios</w:t>
      </w:r>
      <w:r w:rsidR="0002356D">
        <w:rPr>
          <w:rStyle w:val="Refdenotaalpie"/>
        </w:rPr>
        <w:footnoteReference w:id="3"/>
      </w:r>
      <w:r w:rsidRPr="00106D34">
        <w:t>.</w:t>
      </w:r>
      <w:r w:rsidR="0002356D">
        <w:t xml:space="preserve"> </w:t>
      </w:r>
      <w:r w:rsidR="00051A22">
        <w:t xml:space="preserve">Jesús nos indica sencillamente en estos dos versículos cuál es la actitud que define a su verdadera familia y además es una </w:t>
      </w:r>
      <w:r w:rsidR="00051A22">
        <w:rPr>
          <w:rFonts w:ascii="Calibri" w:hAnsi="Calibri"/>
        </w:rPr>
        <w:t>«</w:t>
      </w:r>
      <w:r w:rsidR="00051A22">
        <w:t>bienaventuranza</w:t>
      </w:r>
      <w:r w:rsidR="00051A22">
        <w:rPr>
          <w:rFonts w:ascii="Calibri" w:hAnsi="Calibri"/>
        </w:rPr>
        <w:t>»</w:t>
      </w:r>
      <w:r w:rsidR="00051A22">
        <w:t xml:space="preserve"> en toda regla. Una vez más, </w:t>
      </w:r>
      <w:r w:rsidR="00051A22" w:rsidRPr="00051A22">
        <w:t>Jesús cambia el enfoque de la cuestión y pone como centro de la auténtica «bienaventuranza» no precisamente los vínculos de carne y sangre, sino la escucha de la palabra de Dios y su puesta en práctica.</w:t>
      </w:r>
    </w:p>
    <w:p w14:paraId="2E4A0D84" w14:textId="77777777" w:rsidR="007E2644" w:rsidRDefault="007E2644" w:rsidP="00EA5C24">
      <w:pPr>
        <w:jc w:val="both"/>
      </w:pPr>
    </w:p>
    <w:p w14:paraId="0AC7F025" w14:textId="3DB87A3B" w:rsidR="00051A22" w:rsidRDefault="00051A22" w:rsidP="00051A22">
      <w:pPr>
        <w:jc w:val="both"/>
        <w:rPr>
          <w:rFonts w:ascii="Calibri" w:hAnsi="Calibri"/>
        </w:rPr>
      </w:pPr>
      <w:r w:rsidRPr="00051A22">
        <w:rPr>
          <w:rFonts w:ascii="Calibri" w:hAnsi="Calibri"/>
        </w:rPr>
        <w:t xml:space="preserve">La aclamación de la mujer que alza su voz entre la gente tiene un sabor típicamente maternal; entusiasmada por la elocuencia de Jesús, deja escapar una «bienaventuranza» en </w:t>
      </w:r>
      <w:r w:rsidRPr="00051A22">
        <w:rPr>
          <w:rFonts w:ascii="Calibri" w:hAnsi="Calibri"/>
        </w:rPr>
        <w:lastRenderedPageBreak/>
        <w:t>la que resuena el texto de</w:t>
      </w:r>
      <w:r>
        <w:rPr>
          <w:rFonts w:ascii="Calibri" w:hAnsi="Calibri"/>
        </w:rPr>
        <w:t xml:space="preserve"> Proverbios: «</w:t>
      </w:r>
      <w:r w:rsidRPr="00051A22">
        <w:rPr>
          <w:i/>
        </w:rPr>
        <w:t>El padre del justo rebosa de gozo, quien engendra un sabio por él se regocija. Se alegrarán tu padre y tu madre, y gozará la que te ha engendrado</w:t>
      </w:r>
      <w:r>
        <w:rPr>
          <w:rFonts w:ascii="Calibri" w:hAnsi="Calibri"/>
        </w:rPr>
        <w:t>»</w:t>
      </w:r>
      <w:r>
        <w:rPr>
          <w:rStyle w:val="Refdenotaalpie"/>
          <w:rFonts w:ascii="Calibri" w:hAnsi="Calibri"/>
        </w:rPr>
        <w:footnoteReference w:id="4"/>
      </w:r>
    </w:p>
    <w:p w14:paraId="6D0DBB01" w14:textId="77777777" w:rsidR="00051A22" w:rsidRDefault="00051A22" w:rsidP="00051A22">
      <w:pPr>
        <w:jc w:val="both"/>
        <w:rPr>
          <w:rFonts w:ascii="Calibri" w:hAnsi="Calibri"/>
        </w:rPr>
      </w:pPr>
    </w:p>
    <w:p w14:paraId="690B9EF6" w14:textId="3F4284C9" w:rsidR="00051A22" w:rsidRDefault="00051A22" w:rsidP="00051A22">
      <w:pPr>
        <w:jc w:val="both"/>
        <w:rPr>
          <w:rFonts w:ascii="Calibri" w:hAnsi="Calibri"/>
        </w:rPr>
      </w:pPr>
      <w:r w:rsidRPr="00051A22">
        <w:rPr>
          <w:rFonts w:ascii="Calibri" w:hAnsi="Calibri"/>
        </w:rPr>
        <w:t>A primera vista, la réplica de Jesús parece tremendamente nega</w:t>
      </w:r>
      <w:r>
        <w:rPr>
          <w:rFonts w:ascii="Calibri" w:hAnsi="Calibri"/>
        </w:rPr>
        <w:t>tiva con respecto a su madre</w:t>
      </w:r>
      <w:r w:rsidRPr="00051A22">
        <w:rPr>
          <w:rFonts w:ascii="Calibri" w:hAnsi="Calibri"/>
        </w:rPr>
        <w:t>. La primera «bienaventuranza» es una exaltación espontánea, ingenua, sincera, un piropo a la madre de un hijo como ése</w:t>
      </w:r>
      <w:r w:rsidR="00E30998">
        <w:rPr>
          <w:rStyle w:val="Refdenotaalpie"/>
          <w:rFonts w:ascii="Calibri" w:hAnsi="Calibri"/>
        </w:rPr>
        <w:footnoteReference w:id="5"/>
      </w:r>
      <w:r w:rsidRPr="00051A22">
        <w:rPr>
          <w:rFonts w:ascii="Calibri" w:hAnsi="Calibri"/>
        </w:rPr>
        <w:t>. En cierto sentido, la exclamación de la mujer recoge las propias palabras de María en el Magníficat: «</w:t>
      </w:r>
      <w:r w:rsidRPr="00E30998">
        <w:rPr>
          <w:rFonts w:ascii="Calibri" w:hAnsi="Calibri"/>
          <w:i/>
        </w:rPr>
        <w:t>De ahora en adelante, todas las generaciones me proclamarán dichosa</w:t>
      </w:r>
      <w:r w:rsidRPr="00051A22">
        <w:rPr>
          <w:rFonts w:ascii="Calibri" w:hAnsi="Calibri"/>
        </w:rPr>
        <w:t>»</w:t>
      </w:r>
      <w:r w:rsidR="00E30998">
        <w:rPr>
          <w:rStyle w:val="Refdenotaalpie"/>
          <w:rFonts w:ascii="Calibri" w:hAnsi="Calibri"/>
        </w:rPr>
        <w:footnoteReference w:id="6"/>
      </w:r>
      <w:r w:rsidRPr="00051A22">
        <w:rPr>
          <w:rFonts w:ascii="Calibri" w:hAnsi="Calibri"/>
        </w:rPr>
        <w:t>; la predicción se cumple en ese grito espontáneo de una mujer judía. La segunda «bienaventuranza», la que pronuncia el propio Jesús, parece indicar que no se debe medir la generosidad de Dios por la elocuencia de las palabras o por la realización de exorcismos</w:t>
      </w:r>
      <w:r w:rsidR="00E30998">
        <w:rPr>
          <w:rFonts w:ascii="Calibri" w:hAnsi="Calibri"/>
        </w:rPr>
        <w:t xml:space="preserve"> y milagros</w:t>
      </w:r>
      <w:r w:rsidRPr="00051A22">
        <w:rPr>
          <w:rFonts w:ascii="Calibri" w:hAnsi="Calibri"/>
        </w:rPr>
        <w:t xml:space="preserve">, sino, más bien, por una humilde sumisión a la palabra de Dios y por la práctica de sus exigencias. </w:t>
      </w:r>
      <w:r w:rsidR="00E30998">
        <w:rPr>
          <w:rFonts w:ascii="Calibri" w:hAnsi="Calibri"/>
        </w:rPr>
        <w:t>Que es exactamente lo que hizo María, porque ella «</w:t>
      </w:r>
      <w:r w:rsidR="00E30998" w:rsidRPr="00E30998">
        <w:rPr>
          <w:rFonts w:ascii="Calibri" w:hAnsi="Calibri"/>
          <w:i/>
        </w:rPr>
        <w:t>guardaba todas estas cosas en su corazón</w:t>
      </w:r>
      <w:r w:rsidR="00E30998">
        <w:rPr>
          <w:rFonts w:ascii="Calibri" w:hAnsi="Calibri"/>
        </w:rPr>
        <w:t>»</w:t>
      </w:r>
      <w:r w:rsidR="00E30998">
        <w:rPr>
          <w:rStyle w:val="Refdenotaalpie"/>
          <w:rFonts w:ascii="Calibri" w:hAnsi="Calibri"/>
        </w:rPr>
        <w:footnoteReference w:id="7"/>
      </w:r>
      <w:r w:rsidR="00E30998">
        <w:rPr>
          <w:rFonts w:ascii="Calibri" w:hAnsi="Calibri"/>
        </w:rPr>
        <w:t>. Recordemos, además, que en la visita de María a su prima Isabel, ésta la llama «bienaventurada» o «dichosa», no por ser la madre del Señor, sino porque «</w:t>
      </w:r>
      <w:r w:rsidR="00E30998" w:rsidRPr="00E30998">
        <w:rPr>
          <w:rFonts w:ascii="Calibri" w:hAnsi="Calibri"/>
          <w:i/>
        </w:rPr>
        <w:t>ha creído</w:t>
      </w:r>
      <w:r w:rsidR="00E30998">
        <w:rPr>
          <w:rFonts w:ascii="Calibri" w:hAnsi="Calibri"/>
        </w:rPr>
        <w:t>»</w:t>
      </w:r>
      <w:r w:rsidR="00E30998">
        <w:rPr>
          <w:rStyle w:val="Refdenotaalpie"/>
          <w:rFonts w:ascii="Calibri" w:hAnsi="Calibri"/>
        </w:rPr>
        <w:footnoteReference w:id="8"/>
      </w:r>
      <w:r w:rsidR="00E30998">
        <w:rPr>
          <w:rFonts w:ascii="Calibri" w:hAnsi="Calibri"/>
        </w:rPr>
        <w:t>, que es lo que pasa exactamente en este pasaje del evangelio de hoy.</w:t>
      </w:r>
    </w:p>
    <w:p w14:paraId="75ECDD6C" w14:textId="77777777" w:rsidR="00E30998" w:rsidRDefault="00E30998" w:rsidP="00051A22">
      <w:pPr>
        <w:jc w:val="both"/>
        <w:rPr>
          <w:rFonts w:ascii="Calibri" w:hAnsi="Calibri"/>
        </w:rPr>
      </w:pPr>
    </w:p>
    <w:p w14:paraId="1AF7603D" w14:textId="1ECDDCF7" w:rsidR="00E30998" w:rsidRDefault="00E30998" w:rsidP="00051A22">
      <w:pPr>
        <w:jc w:val="both"/>
        <w:rPr>
          <w:rFonts w:ascii="Calibri" w:hAnsi="Calibri"/>
        </w:rPr>
      </w:pPr>
      <w:r>
        <w:rPr>
          <w:rFonts w:ascii="Calibri" w:hAnsi="Calibri"/>
        </w:rPr>
        <w:t xml:space="preserve">Bien mirado, la segunda bienaventuranza, la de Jesús, no anula la primera, la de la mujer anónima, sino que establece un sistema de prioridades y corrige una primera interpretación errónea de la primera frase. Lo que Jesús está diciendo es: </w:t>
      </w:r>
      <w:r w:rsidR="0088212E" w:rsidRPr="00E30998">
        <w:rPr>
          <w:rFonts w:ascii="Calibri" w:hAnsi="Calibri"/>
        </w:rPr>
        <w:t>«¡</w:t>
      </w:r>
      <w:r w:rsidRPr="00E30998">
        <w:rPr>
          <w:rFonts w:ascii="Calibri" w:hAnsi="Calibri"/>
        </w:rPr>
        <w:t xml:space="preserve">Desde luego! Pero, ante todo, dichosos los que...». En resumen, </w:t>
      </w:r>
      <w:r>
        <w:rPr>
          <w:rFonts w:ascii="Calibri" w:hAnsi="Calibri"/>
        </w:rPr>
        <w:t xml:space="preserve">que aquí se </w:t>
      </w:r>
      <w:r w:rsidRPr="00E30998">
        <w:rPr>
          <w:rFonts w:ascii="Calibri" w:hAnsi="Calibri"/>
        </w:rPr>
        <w:t>reconoce que la madre de Jesús es digna de toda alabanza, no precisamente por haber engendrado a tal Hijo, sino esencialmente porque también ella —según la presentación de Lucas— pertenece a los que escuchan la palabra de Dios, creen en ella y la ponen por obra.</w:t>
      </w:r>
    </w:p>
    <w:p w14:paraId="7DDE334E" w14:textId="77777777" w:rsidR="00051A22" w:rsidRDefault="00051A22" w:rsidP="00051A22">
      <w:pPr>
        <w:jc w:val="both"/>
        <w:rPr>
          <w:rFonts w:ascii="Calibri" w:hAnsi="Calibri"/>
        </w:rPr>
      </w:pPr>
    </w:p>
    <w:p w14:paraId="28EE7E3D" w14:textId="77777777" w:rsidR="00051A22" w:rsidRDefault="00051A22" w:rsidP="00051A22">
      <w:pPr>
        <w:jc w:val="both"/>
      </w:pPr>
      <w:r>
        <w:t>Y es que Lucas se ha preocupado muy mucho de la figura de María. En efecto, e</w:t>
      </w:r>
      <w:r w:rsidRPr="0002356D">
        <w:t>sta descripción positiva de María comienza en el relato de la infancia -especialmente en las escenas de la anunciación y la visitación</w:t>
      </w:r>
      <w:r>
        <w:t>;</w:t>
      </w:r>
      <w:r w:rsidRPr="0002356D">
        <w:t xml:space="preserve"> co</w:t>
      </w:r>
      <w:r>
        <w:t>ntinúa en el ministerio público</w:t>
      </w:r>
      <w:r w:rsidRPr="0002356D">
        <w:t xml:space="preserve"> y llega hasta los primeros días de la Iglesia, en que María -junto con los hermanos de Jesús- espera la llegada del Espíritu en Pentecostés</w:t>
      </w:r>
      <w:r>
        <w:rPr>
          <w:rStyle w:val="Refdenotaalpie"/>
        </w:rPr>
        <w:footnoteReference w:id="9"/>
      </w:r>
    </w:p>
    <w:p w14:paraId="42CC0BD3" w14:textId="77777777" w:rsidR="00051A22" w:rsidRDefault="00051A22" w:rsidP="00051A22">
      <w:pPr>
        <w:jc w:val="both"/>
      </w:pPr>
    </w:p>
    <w:sectPr w:rsidR="00051A22" w:rsidSect="00460DF9">
      <w:footerReference w:type="even" r:id="rId9"/>
      <w:footerReference w:type="default" r:id="rId10"/>
      <w:pgSz w:w="12240" w:h="15840"/>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96D6" w14:textId="77777777" w:rsidR="00F3697E" w:rsidRDefault="00F3697E" w:rsidP="001B7EE8">
      <w:r>
        <w:separator/>
      </w:r>
    </w:p>
  </w:endnote>
  <w:endnote w:type="continuationSeparator" w:id="0">
    <w:p w14:paraId="24C04075" w14:textId="77777777" w:rsidR="00F3697E" w:rsidRDefault="00F3697E"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F0D3"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03B">
      <w:rPr>
        <w:rStyle w:val="Nmerodepgina"/>
        <w:noProof/>
      </w:rPr>
      <w:t>1</w:t>
    </w:r>
    <w:r>
      <w:rPr>
        <w:rStyle w:val="Nmerodepgina"/>
      </w:rPr>
      <w:fldChar w:fldCharType="end"/>
    </w:r>
  </w:p>
  <w:p w14:paraId="44D38068" w14:textId="77777777" w:rsidR="001B7EE8" w:rsidRDefault="001B7EE8" w:rsidP="001B7E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06B"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7DFF">
      <w:rPr>
        <w:rStyle w:val="Nmerodepgina"/>
        <w:noProof/>
      </w:rPr>
      <w:t>2</w:t>
    </w:r>
    <w:r>
      <w:rPr>
        <w:rStyle w:val="Nmerodepgina"/>
      </w:rPr>
      <w:fldChar w:fldCharType="end"/>
    </w:r>
  </w:p>
  <w:p w14:paraId="78B9B1F6" w14:textId="77777777" w:rsidR="001B7EE8" w:rsidRDefault="001B7EE8" w:rsidP="001B7E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1938" w14:textId="77777777" w:rsidR="00F3697E" w:rsidRDefault="00F3697E" w:rsidP="001B7EE8">
      <w:r>
        <w:separator/>
      </w:r>
    </w:p>
  </w:footnote>
  <w:footnote w:type="continuationSeparator" w:id="0">
    <w:p w14:paraId="1CAE58D0" w14:textId="77777777" w:rsidR="00F3697E" w:rsidRDefault="00F3697E" w:rsidP="001B7EE8">
      <w:r>
        <w:continuationSeparator/>
      </w:r>
    </w:p>
  </w:footnote>
  <w:footnote w:id="1">
    <w:p w14:paraId="1E9C4B58" w14:textId="54AB49ED" w:rsidR="0002356D" w:rsidRPr="0002356D" w:rsidRDefault="0002356D">
      <w:pPr>
        <w:pStyle w:val="Textonotapie"/>
        <w:rPr>
          <w:lang w:val="es-ES"/>
        </w:rPr>
      </w:pPr>
      <w:r>
        <w:rPr>
          <w:rStyle w:val="Refdenotaalpie"/>
        </w:rPr>
        <w:footnoteRef/>
      </w:r>
      <w:r>
        <w:t xml:space="preserve"> </w:t>
      </w:r>
      <w:r>
        <w:rPr>
          <w:lang w:val="es-ES"/>
        </w:rPr>
        <w:t xml:space="preserve">Cfr. </w:t>
      </w:r>
      <w:r w:rsidRPr="0002356D">
        <w:rPr>
          <w:smallCaps/>
          <w:lang w:val="es-ES"/>
        </w:rPr>
        <w:t xml:space="preserve">François </w:t>
      </w:r>
      <w:proofErr w:type="spellStart"/>
      <w:r w:rsidRPr="0002356D">
        <w:rPr>
          <w:smallCaps/>
          <w:lang w:val="es-ES"/>
        </w:rPr>
        <w:t>Bovon</w:t>
      </w:r>
      <w:proofErr w:type="spellEnd"/>
      <w:r>
        <w:rPr>
          <w:lang w:val="es-ES"/>
        </w:rPr>
        <w:t xml:space="preserve">. </w:t>
      </w:r>
      <w:r w:rsidRPr="0002356D">
        <w:rPr>
          <w:i/>
          <w:lang w:val="es-ES"/>
        </w:rPr>
        <w:t>El Evangelio según San Lucas</w:t>
      </w:r>
      <w:r>
        <w:rPr>
          <w:lang w:val="es-ES"/>
        </w:rPr>
        <w:t>. Ed. Sígueme. Salamanca 2002</w:t>
      </w:r>
    </w:p>
  </w:footnote>
  <w:footnote w:id="2">
    <w:p w14:paraId="54E4EF9D" w14:textId="3D666574" w:rsidR="007E2644" w:rsidRPr="007E2644" w:rsidRDefault="007E2644">
      <w:pPr>
        <w:pStyle w:val="Textonotapie"/>
        <w:rPr>
          <w:lang w:val="es-ES"/>
        </w:rPr>
      </w:pPr>
      <w:r>
        <w:rPr>
          <w:rStyle w:val="Refdenotaalpie"/>
        </w:rPr>
        <w:footnoteRef/>
      </w:r>
      <w:r>
        <w:t xml:space="preserve"> </w:t>
      </w:r>
      <w:r>
        <w:rPr>
          <w:lang w:val="es-ES"/>
        </w:rPr>
        <w:t xml:space="preserve">Cfr. </w:t>
      </w:r>
      <w:r w:rsidRPr="007E2644">
        <w:rPr>
          <w:smallCaps/>
          <w:lang w:val="es-ES"/>
        </w:rPr>
        <w:t xml:space="preserve">Joseph A. </w:t>
      </w:r>
      <w:proofErr w:type="spellStart"/>
      <w:r w:rsidRPr="007E2644">
        <w:rPr>
          <w:smallCaps/>
          <w:lang w:val="es-ES"/>
        </w:rPr>
        <w:t>Fitzmyer</w:t>
      </w:r>
      <w:proofErr w:type="spellEnd"/>
      <w:r>
        <w:rPr>
          <w:lang w:val="es-ES"/>
        </w:rPr>
        <w:t xml:space="preserve">. </w:t>
      </w:r>
      <w:r w:rsidRPr="00051A22">
        <w:rPr>
          <w:i/>
          <w:lang w:val="es-ES"/>
        </w:rPr>
        <w:t>El Evangelio según Lucas. III. Traducción y comentario</w:t>
      </w:r>
      <w:r>
        <w:rPr>
          <w:lang w:val="es-ES"/>
        </w:rPr>
        <w:t>.  Ed. Cristiandad. Madrid, 1987</w:t>
      </w:r>
    </w:p>
  </w:footnote>
  <w:footnote w:id="3">
    <w:p w14:paraId="10004237" w14:textId="00A2F38D" w:rsidR="0002356D" w:rsidRPr="0002356D" w:rsidRDefault="0002356D">
      <w:pPr>
        <w:pStyle w:val="Textonotapie"/>
        <w:rPr>
          <w:lang w:val="es-ES"/>
        </w:rPr>
      </w:pPr>
      <w:r>
        <w:rPr>
          <w:rStyle w:val="Refdenotaalpie"/>
        </w:rPr>
        <w:footnoteRef/>
      </w:r>
      <w:r>
        <w:t xml:space="preserve"> </w:t>
      </w:r>
      <w:r>
        <w:rPr>
          <w:lang w:val="es-ES"/>
        </w:rPr>
        <w:t xml:space="preserve">Cfr. </w:t>
      </w:r>
      <w:r w:rsidRPr="0002356D">
        <w:rPr>
          <w:smallCaps/>
          <w:lang w:val="es-ES"/>
        </w:rPr>
        <w:t>John P. Meier</w:t>
      </w:r>
      <w:r>
        <w:rPr>
          <w:lang w:val="es-ES"/>
        </w:rPr>
        <w:t xml:space="preserve">. </w:t>
      </w:r>
      <w:r w:rsidRPr="0002356D">
        <w:rPr>
          <w:i/>
          <w:lang w:val="es-ES"/>
        </w:rPr>
        <w:t>Un judío marginal. Nueva visión del Jesús histórico. T. III. Compañeros y competidores</w:t>
      </w:r>
      <w:r>
        <w:rPr>
          <w:lang w:val="es-ES"/>
        </w:rPr>
        <w:t>. Ed. Verbo Divino. Estella (Navarra), 2003</w:t>
      </w:r>
    </w:p>
  </w:footnote>
  <w:footnote w:id="4">
    <w:p w14:paraId="3B1CF4AD" w14:textId="4B917440" w:rsidR="00051A22" w:rsidRPr="00051A22" w:rsidRDefault="00051A22">
      <w:pPr>
        <w:pStyle w:val="Textonotapie"/>
        <w:rPr>
          <w:lang w:val="es-ES"/>
        </w:rPr>
      </w:pPr>
      <w:r>
        <w:rPr>
          <w:rStyle w:val="Refdenotaalpie"/>
        </w:rPr>
        <w:footnoteRef/>
      </w:r>
      <w:r>
        <w:t xml:space="preserve"> </w:t>
      </w:r>
      <w:proofErr w:type="spellStart"/>
      <w:r>
        <w:rPr>
          <w:lang w:val="es-ES"/>
        </w:rPr>
        <w:t>Prov</w:t>
      </w:r>
      <w:proofErr w:type="spellEnd"/>
      <w:r>
        <w:rPr>
          <w:lang w:val="es-ES"/>
        </w:rPr>
        <w:t xml:space="preserve"> 23, 24-25</w:t>
      </w:r>
    </w:p>
  </w:footnote>
  <w:footnote w:id="5">
    <w:p w14:paraId="6B1F0929" w14:textId="40D1EABB" w:rsidR="00E30998" w:rsidRPr="00E30998" w:rsidRDefault="00E30998">
      <w:pPr>
        <w:pStyle w:val="Textonotapie"/>
        <w:rPr>
          <w:lang w:val="es-ES"/>
        </w:rPr>
      </w:pPr>
      <w:r>
        <w:rPr>
          <w:rStyle w:val="Refdenotaalpie"/>
        </w:rPr>
        <w:footnoteRef/>
      </w:r>
      <w:r>
        <w:t xml:space="preserve"> </w:t>
      </w:r>
      <w:r>
        <w:rPr>
          <w:lang w:val="es-ES"/>
        </w:rPr>
        <w:t xml:space="preserve">En España diríamos: </w:t>
      </w:r>
      <w:r w:rsidR="00E04CDD">
        <w:rPr>
          <w:rFonts w:ascii="Calibri" w:hAnsi="Calibri"/>
          <w:lang w:val="es-ES"/>
        </w:rPr>
        <w:t>«</w:t>
      </w:r>
      <w:r w:rsidR="00E04CDD">
        <w:rPr>
          <w:lang w:val="es-ES"/>
        </w:rPr>
        <w:t>¡</w:t>
      </w:r>
      <w:r>
        <w:rPr>
          <w:lang w:val="es-ES"/>
        </w:rPr>
        <w:t>Viva la madre que te parió!</w:t>
      </w:r>
      <w:r>
        <w:rPr>
          <w:rFonts w:ascii="Calibri" w:hAnsi="Calibri"/>
          <w:lang w:val="es-ES"/>
        </w:rPr>
        <w:t>»</w:t>
      </w:r>
    </w:p>
  </w:footnote>
  <w:footnote w:id="6">
    <w:p w14:paraId="201309F3" w14:textId="67A85EF0" w:rsidR="00E30998" w:rsidRPr="00324ECA" w:rsidRDefault="00E30998">
      <w:pPr>
        <w:pStyle w:val="Textonotapie"/>
        <w:rPr>
          <w:lang w:val="en-US"/>
        </w:rPr>
      </w:pPr>
      <w:r>
        <w:rPr>
          <w:rStyle w:val="Refdenotaalpie"/>
        </w:rPr>
        <w:footnoteRef/>
      </w:r>
      <w:r w:rsidRPr="00324ECA">
        <w:rPr>
          <w:lang w:val="en-US"/>
        </w:rPr>
        <w:t xml:space="preserve"> Lc 1, 48</w:t>
      </w:r>
    </w:p>
  </w:footnote>
  <w:footnote w:id="7">
    <w:p w14:paraId="0F4D8320" w14:textId="7B3AFFD6" w:rsidR="00E30998" w:rsidRPr="00324ECA" w:rsidRDefault="00E30998">
      <w:pPr>
        <w:pStyle w:val="Textonotapie"/>
        <w:rPr>
          <w:lang w:val="en-US"/>
        </w:rPr>
      </w:pPr>
      <w:r>
        <w:rPr>
          <w:rStyle w:val="Refdenotaalpie"/>
        </w:rPr>
        <w:footnoteRef/>
      </w:r>
      <w:r w:rsidRPr="00324ECA">
        <w:rPr>
          <w:lang w:val="en-US"/>
        </w:rPr>
        <w:t xml:space="preserve"> Lc 2,19.51</w:t>
      </w:r>
    </w:p>
  </w:footnote>
  <w:footnote w:id="8">
    <w:p w14:paraId="04091FEC" w14:textId="5DBD390D" w:rsidR="00E30998" w:rsidRPr="00324ECA" w:rsidRDefault="00E30998">
      <w:pPr>
        <w:pStyle w:val="Textonotapie"/>
        <w:rPr>
          <w:lang w:val="en-US"/>
        </w:rPr>
      </w:pPr>
      <w:r>
        <w:rPr>
          <w:rStyle w:val="Refdenotaalpie"/>
        </w:rPr>
        <w:footnoteRef/>
      </w:r>
      <w:r w:rsidRPr="00324ECA">
        <w:rPr>
          <w:lang w:val="en-US"/>
        </w:rPr>
        <w:t xml:space="preserve"> Lc 1, 43</w:t>
      </w:r>
    </w:p>
  </w:footnote>
  <w:footnote w:id="9">
    <w:p w14:paraId="606DA2CE" w14:textId="77777777" w:rsidR="00051A22" w:rsidRPr="00324ECA" w:rsidRDefault="00051A22" w:rsidP="00051A22">
      <w:pPr>
        <w:pStyle w:val="Textonotapie"/>
        <w:rPr>
          <w:lang w:val="en-US"/>
        </w:rPr>
      </w:pPr>
      <w:r>
        <w:rPr>
          <w:rStyle w:val="Refdenotaalpie"/>
        </w:rPr>
        <w:footnoteRef/>
      </w:r>
      <w:r w:rsidRPr="00324ECA">
        <w:rPr>
          <w:lang w:val="en-US"/>
        </w:rPr>
        <w:t xml:space="preserve"> Lc 1,26-56; 2,19.51; 8,19-21; </w:t>
      </w:r>
      <w:proofErr w:type="spellStart"/>
      <w:r w:rsidRPr="00324ECA">
        <w:rPr>
          <w:lang w:val="en-US"/>
        </w:rPr>
        <w:t>Hch</w:t>
      </w:r>
      <w:proofErr w:type="spellEnd"/>
      <w:r w:rsidRPr="00324ECA">
        <w:rPr>
          <w:lang w:val="en-US"/>
        </w:rPr>
        <w:t xml:space="preserve">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50"/>
    <w:multiLevelType w:val="hybridMultilevel"/>
    <w:tmpl w:val="EDCC724A"/>
    <w:lvl w:ilvl="0" w:tplc="1682FF8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2847C1"/>
    <w:multiLevelType w:val="hybridMultilevel"/>
    <w:tmpl w:val="5FAA605A"/>
    <w:lvl w:ilvl="0" w:tplc="04881A2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63968602">
    <w:abstractNumId w:val="0"/>
  </w:num>
  <w:num w:numId="2" w16cid:durableId="214165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C"/>
    <w:rsid w:val="00002D43"/>
    <w:rsid w:val="000064E3"/>
    <w:rsid w:val="00006A41"/>
    <w:rsid w:val="00016877"/>
    <w:rsid w:val="0001766C"/>
    <w:rsid w:val="0002356D"/>
    <w:rsid w:val="00023885"/>
    <w:rsid w:val="00023B74"/>
    <w:rsid w:val="0002410D"/>
    <w:rsid w:val="00026415"/>
    <w:rsid w:val="00026EC8"/>
    <w:rsid w:val="0003169D"/>
    <w:rsid w:val="00034ED5"/>
    <w:rsid w:val="00044F21"/>
    <w:rsid w:val="00051A22"/>
    <w:rsid w:val="00053328"/>
    <w:rsid w:val="0005633E"/>
    <w:rsid w:val="00067937"/>
    <w:rsid w:val="000A0085"/>
    <w:rsid w:val="000B3A39"/>
    <w:rsid w:val="000C483C"/>
    <w:rsid w:val="000D2033"/>
    <w:rsid w:val="000D301F"/>
    <w:rsid w:val="000D3C76"/>
    <w:rsid w:val="000D5809"/>
    <w:rsid w:val="000E4D53"/>
    <w:rsid w:val="000E7667"/>
    <w:rsid w:val="000F3864"/>
    <w:rsid w:val="000F3EF9"/>
    <w:rsid w:val="00106D34"/>
    <w:rsid w:val="00107522"/>
    <w:rsid w:val="00114D93"/>
    <w:rsid w:val="00117AD1"/>
    <w:rsid w:val="00123CC8"/>
    <w:rsid w:val="00130BFD"/>
    <w:rsid w:val="00154D05"/>
    <w:rsid w:val="00156608"/>
    <w:rsid w:val="001572E3"/>
    <w:rsid w:val="00160176"/>
    <w:rsid w:val="00160C82"/>
    <w:rsid w:val="001618DE"/>
    <w:rsid w:val="00162F78"/>
    <w:rsid w:val="00164CAD"/>
    <w:rsid w:val="00170C65"/>
    <w:rsid w:val="001719CB"/>
    <w:rsid w:val="001722CA"/>
    <w:rsid w:val="00173E22"/>
    <w:rsid w:val="00186C38"/>
    <w:rsid w:val="00186C9A"/>
    <w:rsid w:val="00195145"/>
    <w:rsid w:val="00196FAF"/>
    <w:rsid w:val="001A1FA9"/>
    <w:rsid w:val="001B0DE3"/>
    <w:rsid w:val="001B7EE8"/>
    <w:rsid w:val="001C3740"/>
    <w:rsid w:val="001C38A2"/>
    <w:rsid w:val="001C5F2A"/>
    <w:rsid w:val="001C6C3A"/>
    <w:rsid w:val="001C708B"/>
    <w:rsid w:val="001D2840"/>
    <w:rsid w:val="001D29D1"/>
    <w:rsid w:val="001D2BB3"/>
    <w:rsid w:val="001D71EA"/>
    <w:rsid w:val="001E3FDA"/>
    <w:rsid w:val="001F0AF4"/>
    <w:rsid w:val="001F1FAE"/>
    <w:rsid w:val="002000ED"/>
    <w:rsid w:val="002020D7"/>
    <w:rsid w:val="0020353E"/>
    <w:rsid w:val="00205A1D"/>
    <w:rsid w:val="00205DF0"/>
    <w:rsid w:val="0022039B"/>
    <w:rsid w:val="00221449"/>
    <w:rsid w:val="0023015F"/>
    <w:rsid w:val="00234D04"/>
    <w:rsid w:val="00235336"/>
    <w:rsid w:val="0024070C"/>
    <w:rsid w:val="00243347"/>
    <w:rsid w:val="002437F8"/>
    <w:rsid w:val="00245470"/>
    <w:rsid w:val="00254638"/>
    <w:rsid w:val="002560F8"/>
    <w:rsid w:val="00256748"/>
    <w:rsid w:val="002570EF"/>
    <w:rsid w:val="00270339"/>
    <w:rsid w:val="002710E3"/>
    <w:rsid w:val="00272CE4"/>
    <w:rsid w:val="00275BF1"/>
    <w:rsid w:val="00277DE4"/>
    <w:rsid w:val="0028021F"/>
    <w:rsid w:val="002839B3"/>
    <w:rsid w:val="002A0A6C"/>
    <w:rsid w:val="002A4B5C"/>
    <w:rsid w:val="002A4D13"/>
    <w:rsid w:val="002B42A4"/>
    <w:rsid w:val="002C0587"/>
    <w:rsid w:val="002C0FBA"/>
    <w:rsid w:val="002C5A08"/>
    <w:rsid w:val="002C7FE5"/>
    <w:rsid w:val="002D0F07"/>
    <w:rsid w:val="002D4026"/>
    <w:rsid w:val="002D5271"/>
    <w:rsid w:val="002E12A9"/>
    <w:rsid w:val="002E3721"/>
    <w:rsid w:val="002F1158"/>
    <w:rsid w:val="00305423"/>
    <w:rsid w:val="00313B90"/>
    <w:rsid w:val="00324ECA"/>
    <w:rsid w:val="003328A7"/>
    <w:rsid w:val="00342F1D"/>
    <w:rsid w:val="003458F0"/>
    <w:rsid w:val="0036260D"/>
    <w:rsid w:val="00373719"/>
    <w:rsid w:val="0038224F"/>
    <w:rsid w:val="00384ADD"/>
    <w:rsid w:val="00396BBD"/>
    <w:rsid w:val="003A0FDD"/>
    <w:rsid w:val="003A1449"/>
    <w:rsid w:val="003A5DE0"/>
    <w:rsid w:val="003B258B"/>
    <w:rsid w:val="003B34FC"/>
    <w:rsid w:val="003B475A"/>
    <w:rsid w:val="003C05F2"/>
    <w:rsid w:val="003C5F38"/>
    <w:rsid w:val="003D0909"/>
    <w:rsid w:val="003F2830"/>
    <w:rsid w:val="00404415"/>
    <w:rsid w:val="004174D1"/>
    <w:rsid w:val="00421DCC"/>
    <w:rsid w:val="004362B2"/>
    <w:rsid w:val="004363F3"/>
    <w:rsid w:val="0044140D"/>
    <w:rsid w:val="0044153E"/>
    <w:rsid w:val="00457A19"/>
    <w:rsid w:val="00457EFA"/>
    <w:rsid w:val="00460AC3"/>
    <w:rsid w:val="00460DF9"/>
    <w:rsid w:val="0046300D"/>
    <w:rsid w:val="00467D7C"/>
    <w:rsid w:val="00470DD6"/>
    <w:rsid w:val="00475EA0"/>
    <w:rsid w:val="00476CB0"/>
    <w:rsid w:val="004859EC"/>
    <w:rsid w:val="00494F97"/>
    <w:rsid w:val="004A7475"/>
    <w:rsid w:val="004B0B97"/>
    <w:rsid w:val="004B145B"/>
    <w:rsid w:val="004B1FAB"/>
    <w:rsid w:val="004C2521"/>
    <w:rsid w:val="004C4B80"/>
    <w:rsid w:val="004C5F0E"/>
    <w:rsid w:val="004E2014"/>
    <w:rsid w:val="004F5E7F"/>
    <w:rsid w:val="004F71FB"/>
    <w:rsid w:val="004F7468"/>
    <w:rsid w:val="004F74D1"/>
    <w:rsid w:val="005015A0"/>
    <w:rsid w:val="00504B4B"/>
    <w:rsid w:val="00505239"/>
    <w:rsid w:val="00505A23"/>
    <w:rsid w:val="00505D2E"/>
    <w:rsid w:val="0050690F"/>
    <w:rsid w:val="0051397B"/>
    <w:rsid w:val="005227CC"/>
    <w:rsid w:val="005361FC"/>
    <w:rsid w:val="00540CAE"/>
    <w:rsid w:val="00562688"/>
    <w:rsid w:val="00562D60"/>
    <w:rsid w:val="00564755"/>
    <w:rsid w:val="005656F0"/>
    <w:rsid w:val="00576052"/>
    <w:rsid w:val="00577792"/>
    <w:rsid w:val="00581810"/>
    <w:rsid w:val="005876A6"/>
    <w:rsid w:val="0059521A"/>
    <w:rsid w:val="0059639D"/>
    <w:rsid w:val="005970F8"/>
    <w:rsid w:val="005A0323"/>
    <w:rsid w:val="005A214E"/>
    <w:rsid w:val="005A2AEF"/>
    <w:rsid w:val="005A2F7E"/>
    <w:rsid w:val="005A3CFF"/>
    <w:rsid w:val="005A45AA"/>
    <w:rsid w:val="005B1FE3"/>
    <w:rsid w:val="005B26D6"/>
    <w:rsid w:val="005B2A43"/>
    <w:rsid w:val="005B3735"/>
    <w:rsid w:val="005B62B8"/>
    <w:rsid w:val="005B6833"/>
    <w:rsid w:val="005C137E"/>
    <w:rsid w:val="005C4E44"/>
    <w:rsid w:val="005C5C17"/>
    <w:rsid w:val="005E3A7B"/>
    <w:rsid w:val="005E71D4"/>
    <w:rsid w:val="005F4422"/>
    <w:rsid w:val="005F507A"/>
    <w:rsid w:val="005F5FA3"/>
    <w:rsid w:val="00600AAC"/>
    <w:rsid w:val="00602B43"/>
    <w:rsid w:val="0060353F"/>
    <w:rsid w:val="00603FC9"/>
    <w:rsid w:val="00604C14"/>
    <w:rsid w:val="00605258"/>
    <w:rsid w:val="00605942"/>
    <w:rsid w:val="00612ECF"/>
    <w:rsid w:val="00615F20"/>
    <w:rsid w:val="00625B1A"/>
    <w:rsid w:val="00631A5D"/>
    <w:rsid w:val="006518BA"/>
    <w:rsid w:val="00654183"/>
    <w:rsid w:val="006763C1"/>
    <w:rsid w:val="00680E7E"/>
    <w:rsid w:val="00683CB2"/>
    <w:rsid w:val="00683EE7"/>
    <w:rsid w:val="0068671C"/>
    <w:rsid w:val="00687026"/>
    <w:rsid w:val="0069061C"/>
    <w:rsid w:val="00692B6F"/>
    <w:rsid w:val="006A0ED3"/>
    <w:rsid w:val="006A6579"/>
    <w:rsid w:val="006B73E9"/>
    <w:rsid w:val="006C2A81"/>
    <w:rsid w:val="006C3713"/>
    <w:rsid w:val="006D01E4"/>
    <w:rsid w:val="006D490A"/>
    <w:rsid w:val="006D55B0"/>
    <w:rsid w:val="006F0DD0"/>
    <w:rsid w:val="006F7DFF"/>
    <w:rsid w:val="007153D7"/>
    <w:rsid w:val="0072146A"/>
    <w:rsid w:val="00724122"/>
    <w:rsid w:val="00725942"/>
    <w:rsid w:val="00740AD2"/>
    <w:rsid w:val="00745F8A"/>
    <w:rsid w:val="00755263"/>
    <w:rsid w:val="007564C3"/>
    <w:rsid w:val="007639C6"/>
    <w:rsid w:val="00763F66"/>
    <w:rsid w:val="00764BDE"/>
    <w:rsid w:val="00764F3C"/>
    <w:rsid w:val="00765DD1"/>
    <w:rsid w:val="007678F3"/>
    <w:rsid w:val="00782E2F"/>
    <w:rsid w:val="007848A6"/>
    <w:rsid w:val="00786CC7"/>
    <w:rsid w:val="00790D0E"/>
    <w:rsid w:val="00791724"/>
    <w:rsid w:val="007917A7"/>
    <w:rsid w:val="007A2C1F"/>
    <w:rsid w:val="007A35A5"/>
    <w:rsid w:val="007A6477"/>
    <w:rsid w:val="007B3F80"/>
    <w:rsid w:val="007B6EC4"/>
    <w:rsid w:val="007C04EE"/>
    <w:rsid w:val="007C0ACE"/>
    <w:rsid w:val="007C4413"/>
    <w:rsid w:val="007D09DC"/>
    <w:rsid w:val="007D62F1"/>
    <w:rsid w:val="007E2644"/>
    <w:rsid w:val="008062A4"/>
    <w:rsid w:val="00811D6C"/>
    <w:rsid w:val="00816847"/>
    <w:rsid w:val="00820572"/>
    <w:rsid w:val="0083348C"/>
    <w:rsid w:val="00834D0B"/>
    <w:rsid w:val="00837A93"/>
    <w:rsid w:val="00841D0B"/>
    <w:rsid w:val="008546E7"/>
    <w:rsid w:val="008616C8"/>
    <w:rsid w:val="00863843"/>
    <w:rsid w:val="0086779A"/>
    <w:rsid w:val="00870473"/>
    <w:rsid w:val="008713E0"/>
    <w:rsid w:val="00875F31"/>
    <w:rsid w:val="0087747F"/>
    <w:rsid w:val="0088212E"/>
    <w:rsid w:val="008821AA"/>
    <w:rsid w:val="0088266F"/>
    <w:rsid w:val="00890C84"/>
    <w:rsid w:val="00890FC1"/>
    <w:rsid w:val="00893DE1"/>
    <w:rsid w:val="008947CD"/>
    <w:rsid w:val="00895CE6"/>
    <w:rsid w:val="00897F4E"/>
    <w:rsid w:val="00897FD0"/>
    <w:rsid w:val="008A5E64"/>
    <w:rsid w:val="008C24AC"/>
    <w:rsid w:val="008D0277"/>
    <w:rsid w:val="008D15D7"/>
    <w:rsid w:val="008D6E70"/>
    <w:rsid w:val="008E493E"/>
    <w:rsid w:val="008E7881"/>
    <w:rsid w:val="0090183B"/>
    <w:rsid w:val="00901D74"/>
    <w:rsid w:val="009035B1"/>
    <w:rsid w:val="0090623C"/>
    <w:rsid w:val="00915880"/>
    <w:rsid w:val="00926E37"/>
    <w:rsid w:val="0093136A"/>
    <w:rsid w:val="00933052"/>
    <w:rsid w:val="009337C7"/>
    <w:rsid w:val="00960DE7"/>
    <w:rsid w:val="009627F3"/>
    <w:rsid w:val="009661F2"/>
    <w:rsid w:val="00977FE1"/>
    <w:rsid w:val="00981F60"/>
    <w:rsid w:val="00982664"/>
    <w:rsid w:val="00991912"/>
    <w:rsid w:val="009A1ABF"/>
    <w:rsid w:val="009A30E1"/>
    <w:rsid w:val="009B12BA"/>
    <w:rsid w:val="009B1514"/>
    <w:rsid w:val="009C03D5"/>
    <w:rsid w:val="009D2931"/>
    <w:rsid w:val="009D6EB4"/>
    <w:rsid w:val="009D7B15"/>
    <w:rsid w:val="009E24CC"/>
    <w:rsid w:val="009E3B73"/>
    <w:rsid w:val="00A0051C"/>
    <w:rsid w:val="00A0116F"/>
    <w:rsid w:val="00A01F64"/>
    <w:rsid w:val="00A16990"/>
    <w:rsid w:val="00A365BB"/>
    <w:rsid w:val="00A37152"/>
    <w:rsid w:val="00A41267"/>
    <w:rsid w:val="00A41FD9"/>
    <w:rsid w:val="00A4330F"/>
    <w:rsid w:val="00A54825"/>
    <w:rsid w:val="00A54F38"/>
    <w:rsid w:val="00A60CC4"/>
    <w:rsid w:val="00A629AE"/>
    <w:rsid w:val="00A64C69"/>
    <w:rsid w:val="00A6731D"/>
    <w:rsid w:val="00A71419"/>
    <w:rsid w:val="00A85002"/>
    <w:rsid w:val="00A856B3"/>
    <w:rsid w:val="00A937CD"/>
    <w:rsid w:val="00A9414A"/>
    <w:rsid w:val="00AB5D25"/>
    <w:rsid w:val="00AD7041"/>
    <w:rsid w:val="00AF1009"/>
    <w:rsid w:val="00AF7439"/>
    <w:rsid w:val="00AF7E92"/>
    <w:rsid w:val="00B00008"/>
    <w:rsid w:val="00B03D32"/>
    <w:rsid w:val="00B04C94"/>
    <w:rsid w:val="00B0587A"/>
    <w:rsid w:val="00B14725"/>
    <w:rsid w:val="00B1673A"/>
    <w:rsid w:val="00B37DA5"/>
    <w:rsid w:val="00B41F33"/>
    <w:rsid w:val="00B62298"/>
    <w:rsid w:val="00B64327"/>
    <w:rsid w:val="00B6684E"/>
    <w:rsid w:val="00B6703B"/>
    <w:rsid w:val="00B7795B"/>
    <w:rsid w:val="00B9696C"/>
    <w:rsid w:val="00B96FA7"/>
    <w:rsid w:val="00BA594E"/>
    <w:rsid w:val="00BA7255"/>
    <w:rsid w:val="00BB5963"/>
    <w:rsid w:val="00BD3769"/>
    <w:rsid w:val="00BD5D48"/>
    <w:rsid w:val="00BD6742"/>
    <w:rsid w:val="00BE493B"/>
    <w:rsid w:val="00BF0B6D"/>
    <w:rsid w:val="00C062D5"/>
    <w:rsid w:val="00C104A0"/>
    <w:rsid w:val="00C136DD"/>
    <w:rsid w:val="00C2013A"/>
    <w:rsid w:val="00C22B04"/>
    <w:rsid w:val="00C27B22"/>
    <w:rsid w:val="00C30925"/>
    <w:rsid w:val="00C351D1"/>
    <w:rsid w:val="00C369DA"/>
    <w:rsid w:val="00C54AD2"/>
    <w:rsid w:val="00C5532D"/>
    <w:rsid w:val="00C614C6"/>
    <w:rsid w:val="00C627A0"/>
    <w:rsid w:val="00C73947"/>
    <w:rsid w:val="00C81E76"/>
    <w:rsid w:val="00C85AC8"/>
    <w:rsid w:val="00C93F1D"/>
    <w:rsid w:val="00CA1C48"/>
    <w:rsid w:val="00CA2BFF"/>
    <w:rsid w:val="00CA323D"/>
    <w:rsid w:val="00CA39DD"/>
    <w:rsid w:val="00CB55F1"/>
    <w:rsid w:val="00CB6AC2"/>
    <w:rsid w:val="00CB7CF3"/>
    <w:rsid w:val="00CC2790"/>
    <w:rsid w:val="00CD1F3D"/>
    <w:rsid w:val="00CE2746"/>
    <w:rsid w:val="00CE47B7"/>
    <w:rsid w:val="00CE76A8"/>
    <w:rsid w:val="00CF399B"/>
    <w:rsid w:val="00D0051A"/>
    <w:rsid w:val="00D0450D"/>
    <w:rsid w:val="00D0509A"/>
    <w:rsid w:val="00D07818"/>
    <w:rsid w:val="00D07B70"/>
    <w:rsid w:val="00D10568"/>
    <w:rsid w:val="00D2210E"/>
    <w:rsid w:val="00D27630"/>
    <w:rsid w:val="00D30DC2"/>
    <w:rsid w:val="00D332B3"/>
    <w:rsid w:val="00D3496C"/>
    <w:rsid w:val="00D40572"/>
    <w:rsid w:val="00D4203A"/>
    <w:rsid w:val="00D606DA"/>
    <w:rsid w:val="00D66985"/>
    <w:rsid w:val="00D673DA"/>
    <w:rsid w:val="00D82E62"/>
    <w:rsid w:val="00D9484E"/>
    <w:rsid w:val="00DA16EB"/>
    <w:rsid w:val="00DA7804"/>
    <w:rsid w:val="00DC70F2"/>
    <w:rsid w:val="00DE637A"/>
    <w:rsid w:val="00DF09C0"/>
    <w:rsid w:val="00DF5C77"/>
    <w:rsid w:val="00DF5DF6"/>
    <w:rsid w:val="00E0332B"/>
    <w:rsid w:val="00E04CDD"/>
    <w:rsid w:val="00E059AC"/>
    <w:rsid w:val="00E12A63"/>
    <w:rsid w:val="00E176F0"/>
    <w:rsid w:val="00E30998"/>
    <w:rsid w:val="00E34C52"/>
    <w:rsid w:val="00E45655"/>
    <w:rsid w:val="00E469A0"/>
    <w:rsid w:val="00E62318"/>
    <w:rsid w:val="00E66252"/>
    <w:rsid w:val="00E662C7"/>
    <w:rsid w:val="00E676BF"/>
    <w:rsid w:val="00E7179D"/>
    <w:rsid w:val="00E725EF"/>
    <w:rsid w:val="00E73AD6"/>
    <w:rsid w:val="00E92169"/>
    <w:rsid w:val="00E96E9F"/>
    <w:rsid w:val="00EA24A9"/>
    <w:rsid w:val="00EA5C24"/>
    <w:rsid w:val="00EB063B"/>
    <w:rsid w:val="00EB0C7F"/>
    <w:rsid w:val="00EB2AA7"/>
    <w:rsid w:val="00EB60B2"/>
    <w:rsid w:val="00ED075E"/>
    <w:rsid w:val="00ED147C"/>
    <w:rsid w:val="00ED1DF5"/>
    <w:rsid w:val="00EE1727"/>
    <w:rsid w:val="00EE6CAC"/>
    <w:rsid w:val="00EF0EEE"/>
    <w:rsid w:val="00EF278F"/>
    <w:rsid w:val="00EF60A6"/>
    <w:rsid w:val="00EF7814"/>
    <w:rsid w:val="00EF7CF7"/>
    <w:rsid w:val="00F004C3"/>
    <w:rsid w:val="00F0491D"/>
    <w:rsid w:val="00F17B92"/>
    <w:rsid w:val="00F3110D"/>
    <w:rsid w:val="00F3697E"/>
    <w:rsid w:val="00F452C3"/>
    <w:rsid w:val="00F561A6"/>
    <w:rsid w:val="00F5620C"/>
    <w:rsid w:val="00F612E9"/>
    <w:rsid w:val="00F653BF"/>
    <w:rsid w:val="00F753A6"/>
    <w:rsid w:val="00F77839"/>
    <w:rsid w:val="00F81CAB"/>
    <w:rsid w:val="00F81FA9"/>
    <w:rsid w:val="00F84070"/>
    <w:rsid w:val="00F871DC"/>
    <w:rsid w:val="00FA76B2"/>
    <w:rsid w:val="00FB1053"/>
    <w:rsid w:val="00FB25E5"/>
    <w:rsid w:val="00FB2E43"/>
    <w:rsid w:val="00FC6A56"/>
    <w:rsid w:val="00FC7799"/>
    <w:rsid w:val="00FD1E4B"/>
    <w:rsid w:val="00FD3800"/>
    <w:rsid w:val="00FF1187"/>
    <w:rsid w:val="00FF363A"/>
    <w:rsid w:val="00FF7042"/>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15:docId w15:val="{9AC52802-07B1-4583-AD39-BABB2D50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Textonotapie">
    <w:name w:val="footnote text"/>
    <w:basedOn w:val="Normal"/>
    <w:link w:val="TextonotapieCar"/>
    <w:uiPriority w:val="99"/>
    <w:unhideWhenUsed/>
    <w:rsid w:val="0044153E"/>
    <w:pPr>
      <w:jc w:val="both"/>
    </w:pPr>
    <w:rPr>
      <w:sz w:val="20"/>
      <w:szCs w:val="20"/>
    </w:rPr>
  </w:style>
  <w:style w:type="character" w:customStyle="1" w:styleId="TextonotapieCar">
    <w:name w:val="Texto nota pie Car"/>
    <w:basedOn w:val="Fuentedeprrafopredeter"/>
    <w:link w:val="Textonotapie"/>
    <w:uiPriority w:val="99"/>
    <w:rsid w:val="0044153E"/>
    <w:rPr>
      <w:sz w:val="20"/>
      <w:szCs w:val="20"/>
    </w:rPr>
  </w:style>
  <w:style w:type="character" w:styleId="Refdenotaalpie">
    <w:name w:val="footnote reference"/>
    <w:basedOn w:val="Fuentedeprrafopredeter"/>
    <w:uiPriority w:val="99"/>
    <w:unhideWhenUsed/>
    <w:rsid w:val="00E92169"/>
    <w:rPr>
      <w:vertAlign w:val="superscript"/>
    </w:rPr>
  </w:style>
  <w:style w:type="paragraph" w:styleId="Prrafodelista">
    <w:name w:val="List Paragraph"/>
    <w:basedOn w:val="Normal"/>
    <w:uiPriority w:val="34"/>
    <w:qFormat/>
    <w:rsid w:val="00E45655"/>
    <w:pPr>
      <w:ind w:left="720"/>
      <w:contextualSpacing/>
    </w:pPr>
  </w:style>
  <w:style w:type="paragraph" w:styleId="Sinespaciado">
    <w:name w:val="No Spacing"/>
    <w:uiPriority w:val="1"/>
    <w:qFormat/>
    <w:rsid w:val="00117AD1"/>
    <w:pPr>
      <w:ind w:left="357" w:hanging="357"/>
      <w:jc w:val="both"/>
    </w:pPr>
    <w:rPr>
      <w:sz w:val="22"/>
      <w:szCs w:val="22"/>
      <w:lang w:val="es-MX"/>
    </w:rPr>
  </w:style>
  <w:style w:type="character" w:styleId="Textodelmarcadordeposicin">
    <w:name w:val="Placeholder Text"/>
    <w:basedOn w:val="Fuentedeprrafopredeter"/>
    <w:uiPriority w:val="99"/>
    <w:semiHidden/>
    <w:rsid w:val="0002356D"/>
    <w:rPr>
      <w:color w:val="808080"/>
    </w:rPr>
  </w:style>
  <w:style w:type="paragraph" w:styleId="Textodeglobo">
    <w:name w:val="Balloon Text"/>
    <w:basedOn w:val="Normal"/>
    <w:link w:val="TextodegloboCar"/>
    <w:uiPriority w:val="99"/>
    <w:semiHidden/>
    <w:unhideWhenUsed/>
    <w:rsid w:val="0002356D"/>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EACE-3CEC-4BC6-A0F7-790AE27C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Mercedes Suanzes Caamaño</cp:lastModifiedBy>
  <cp:revision>3</cp:revision>
  <cp:lastPrinted>2019-10-12T03:34:00Z</cp:lastPrinted>
  <dcterms:created xsi:type="dcterms:W3CDTF">2022-10-08T03:35:00Z</dcterms:created>
  <dcterms:modified xsi:type="dcterms:W3CDTF">2022-10-08T03:35:00Z</dcterms:modified>
</cp:coreProperties>
</file>